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“大棚房”问题“回头看”违规问题分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镇（中心）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明细表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sz w:val="28"/>
          <w:szCs w:val="28"/>
        </w:rPr>
        <w:t>_______________</w:t>
      </w:r>
      <w:r>
        <w:rPr>
          <w:rFonts w:hint="eastAsia" w:ascii="仿宋_GB2312" w:eastAsia="仿宋_GB2312"/>
          <w:sz w:val="28"/>
          <w:szCs w:val="28"/>
          <w:lang w:eastAsia="zh-CN"/>
        </w:rPr>
        <w:t>镇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中心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 xml:space="preserve">                   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82"/>
        <w:gridCol w:w="1199"/>
        <w:gridCol w:w="958"/>
        <w:gridCol w:w="1199"/>
        <w:gridCol w:w="1193"/>
        <w:gridCol w:w="955"/>
        <w:gridCol w:w="1999"/>
        <w:gridCol w:w="1568"/>
        <w:gridCol w:w="1851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项目主体名称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建设</w:t>
            </w:r>
          </w:p>
          <w:p>
            <w:pPr>
              <w:jc w:val="center"/>
              <w:rPr>
                <w:rFonts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地点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用地总面积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（亩）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其中违规建设面积</w:t>
            </w:r>
            <w:r>
              <w:rPr>
                <w:rFonts w:hint="eastAsia" w:ascii="黑体" w:hAnsi="黑体" w:eastAsia="黑体"/>
                <w:bCs/>
                <w:sz w:val="24"/>
              </w:rPr>
              <w:t>（亩）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项目负责人</w:t>
            </w: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70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问题类型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（一、二、三）</w:t>
            </w:r>
          </w:p>
        </w:tc>
        <w:tc>
          <w:tcPr>
            <w:tcW w:w="164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违规问题</w:t>
            </w:r>
            <w:r>
              <w:rPr>
                <w:rFonts w:hint="eastAsia" w:ascii="黑体" w:hAnsi="黑体" w:eastAsia="黑体"/>
                <w:bCs/>
                <w:sz w:val="24"/>
              </w:rPr>
              <w:t>分类（在对应类型处填“√”）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楷体_GB2312"/>
                <w:bCs/>
                <w:sz w:val="24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遗留未整改到位问题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已整改到位改扩建反弹问题</w:t>
            </w: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新建违规问题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楷体_GB2312"/>
                <w:b/>
                <w:bCs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违规建设面积是指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超过标准的建设面积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硬化面积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以及其他非农用途面积</w:t>
      </w:r>
      <w:r>
        <w:rPr>
          <w:rFonts w:hint="eastAsia" w:ascii="仿宋_GB2312" w:eastAsia="仿宋_GB2312"/>
          <w:sz w:val="28"/>
          <w:szCs w:val="28"/>
        </w:rPr>
        <w:t>。问题类型（一、二、三）详见方案“回头看”排查整治范围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7BBE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