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textAlignment w:val="auto"/>
        <w:rPr>
          <w:rFonts w:hint="eastAsia" w:ascii="黑体" w:hAnsi="黑体" w:eastAsia="黑体" w:cs="黑体"/>
          <w:i w:val="0"/>
          <w:iCs w:val="0"/>
          <w:caps w:val="0"/>
          <w:color w:val="000000"/>
          <w:spacing w:val="0"/>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center"/>
        <w:textAlignment w:val="auto"/>
        <w:rPr>
          <w:rFonts w:hint="eastAsia" w:ascii="宋体" w:hAnsi="宋体" w:eastAsia="宋体" w:cs="宋体"/>
          <w:b/>
          <w:bCs/>
          <w:i w:val="0"/>
          <w:iCs w:val="0"/>
          <w:caps w:val="0"/>
          <w:color w:val="000000"/>
          <w:spacing w:val="0"/>
          <w:sz w:val="44"/>
          <w:szCs w:val="44"/>
        </w:rPr>
      </w:pPr>
      <w:r>
        <w:rPr>
          <w:rFonts w:hint="eastAsia" w:ascii="宋体" w:hAnsi="宋体" w:eastAsia="宋体" w:cs="宋体"/>
          <w:b/>
          <w:bCs/>
          <w:i w:val="0"/>
          <w:iCs w:val="0"/>
          <w:caps w:val="0"/>
          <w:color w:val="000000"/>
          <w:spacing w:val="0"/>
          <w:sz w:val="44"/>
          <w:szCs w:val="44"/>
          <w:lang w:eastAsia="zh-CN"/>
        </w:rPr>
        <w:t>清涧县</w:t>
      </w:r>
      <w:r>
        <w:rPr>
          <w:rFonts w:hint="eastAsia" w:ascii="宋体" w:hAnsi="宋体" w:eastAsia="宋体" w:cs="宋体"/>
          <w:b/>
          <w:bCs/>
          <w:i w:val="0"/>
          <w:iCs w:val="0"/>
          <w:caps w:val="0"/>
          <w:color w:val="000000"/>
          <w:spacing w:val="0"/>
          <w:sz w:val="44"/>
          <w:szCs w:val="44"/>
          <w:lang w:val="en-US" w:eastAsia="zh-CN"/>
        </w:rPr>
        <w:t>中心</w:t>
      </w:r>
      <w:r>
        <w:rPr>
          <w:rFonts w:hint="eastAsia" w:ascii="宋体" w:hAnsi="宋体" w:eastAsia="宋体" w:cs="宋体"/>
          <w:b/>
          <w:bCs/>
          <w:i w:val="0"/>
          <w:iCs w:val="0"/>
          <w:caps w:val="0"/>
          <w:color w:val="000000"/>
          <w:spacing w:val="0"/>
          <w:sz w:val="44"/>
          <w:szCs w:val="44"/>
        </w:rPr>
        <w:t>城区住宅小区物业服务费标准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42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rPr>
        <w:t>单位：元/平方米·月</w:t>
      </w:r>
    </w:p>
    <w:tbl>
      <w:tblPr>
        <w:tblStyle w:val="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851"/>
        <w:gridCol w:w="3442"/>
        <w:gridCol w:w="30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19" w:hRule="atLeast"/>
          <w:jc w:val="center"/>
        </w:trPr>
        <w:tc>
          <w:tcPr>
            <w:tcW w:w="1851"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服务等级</w:t>
            </w:r>
          </w:p>
        </w:tc>
        <w:tc>
          <w:tcPr>
            <w:tcW w:w="3442"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有电梯</w:t>
            </w:r>
          </w:p>
        </w:tc>
        <w:tc>
          <w:tcPr>
            <w:tcW w:w="3043"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无电梯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14" w:hRule="atLeast"/>
          <w:jc w:val="center"/>
        </w:trPr>
        <w:tc>
          <w:tcPr>
            <w:tcW w:w="1851"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一级</w:t>
            </w:r>
          </w:p>
        </w:tc>
        <w:tc>
          <w:tcPr>
            <w:tcW w:w="3442"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p>
        </w:tc>
        <w:tc>
          <w:tcPr>
            <w:tcW w:w="3043"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49" w:hRule="atLeast"/>
          <w:jc w:val="center"/>
        </w:trPr>
        <w:tc>
          <w:tcPr>
            <w:tcW w:w="1851"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二级</w:t>
            </w:r>
          </w:p>
        </w:tc>
        <w:tc>
          <w:tcPr>
            <w:tcW w:w="3442"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p>
        </w:tc>
        <w:tc>
          <w:tcPr>
            <w:tcW w:w="3043"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94" w:hRule="atLeast"/>
          <w:jc w:val="center"/>
        </w:trPr>
        <w:tc>
          <w:tcPr>
            <w:tcW w:w="1851"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三级</w:t>
            </w:r>
          </w:p>
        </w:tc>
        <w:tc>
          <w:tcPr>
            <w:tcW w:w="3442"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p>
        </w:tc>
        <w:tc>
          <w:tcPr>
            <w:tcW w:w="3043"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09" w:hRule="atLeast"/>
          <w:jc w:val="center"/>
        </w:trPr>
        <w:tc>
          <w:tcPr>
            <w:tcW w:w="1851"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Chars="0" w:right="0" w:right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等外</w:t>
            </w:r>
          </w:p>
        </w:tc>
        <w:tc>
          <w:tcPr>
            <w:tcW w:w="3442"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7</w:t>
            </w:r>
          </w:p>
        </w:tc>
        <w:tc>
          <w:tcPr>
            <w:tcW w:w="3043" w:type="dxa"/>
            <w:tcBorders>
              <w:top w:val="outset" w:color="auto" w:sz="6" w:space="0"/>
              <w:left w:val="outset" w:color="auto" w:sz="6" w:space="0"/>
              <w:bottom w:val="outset" w:color="auto" w:sz="6" w:space="0"/>
              <w:right w:val="outset" w:color="auto" w:sz="6"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0.4</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textAlignment w:val="auto"/>
        <w:rPr>
          <w:rFonts w:hint="eastAsia" w:ascii="仿宋_GB2312" w:hAnsi="仿宋_GB2312" w:eastAsia="仿宋_GB2312" w:cs="仿宋_GB2312"/>
          <w:i w:val="0"/>
          <w:iCs w:val="0"/>
          <w:caps w:val="0"/>
          <w:color w:val="000000"/>
          <w:spacing w:val="0"/>
          <w:sz w:val="30"/>
          <w:szCs w:val="30"/>
          <w:highlight w:val="none"/>
          <w:lang w:val="en-US" w:eastAsia="zh-CN"/>
        </w:rPr>
      </w:pPr>
      <w:r>
        <w:rPr>
          <w:rFonts w:hint="eastAsia" w:ascii="仿宋_GB2312" w:hAnsi="仿宋_GB2312" w:eastAsia="仿宋_GB2312" w:cs="仿宋_GB2312"/>
          <w:i w:val="0"/>
          <w:iCs w:val="0"/>
          <w:caps w:val="0"/>
          <w:color w:val="000000"/>
          <w:spacing w:val="0"/>
          <w:sz w:val="30"/>
          <w:szCs w:val="30"/>
          <w:highlight w:val="none"/>
          <w:lang w:val="en-US" w:eastAsia="zh-Hans"/>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both"/>
        <w:textAlignment w:val="auto"/>
        <w:rPr>
          <w:rFonts w:hint="eastAsia" w:ascii="仿宋_GB2312" w:hAnsi="仿宋_GB2312" w:eastAsia="仿宋_GB2312" w:cs="仿宋_GB2312"/>
          <w:b/>
          <w:bCs/>
          <w:i w:val="0"/>
          <w:iCs w:val="0"/>
          <w:caps w:val="0"/>
          <w:color w:val="000000"/>
          <w:spacing w:val="0"/>
          <w:sz w:val="32"/>
          <w:szCs w:val="32"/>
          <w:highlight w:val="none"/>
          <w:lang w:val="en-US" w:eastAsia="zh-Hans"/>
        </w:rPr>
      </w:pPr>
      <w:r>
        <w:rPr>
          <w:rFonts w:hint="eastAsia" w:ascii="仿宋_GB2312" w:hAnsi="仿宋_GB2312" w:eastAsia="仿宋_GB2312" w:cs="仿宋_GB2312"/>
          <w:b/>
          <w:bCs/>
          <w:i w:val="0"/>
          <w:iCs w:val="0"/>
          <w:caps w:val="0"/>
          <w:color w:val="000000"/>
          <w:spacing w:val="0"/>
          <w:sz w:val="32"/>
          <w:szCs w:val="32"/>
          <w:highlight w:val="none"/>
          <w:lang w:val="en-US" w:eastAsia="zh-CN"/>
        </w:rPr>
        <w:t>备</w:t>
      </w:r>
      <w:r>
        <w:rPr>
          <w:rFonts w:hint="eastAsia" w:ascii="仿宋_GB2312" w:hAnsi="仿宋_GB2312" w:eastAsia="仿宋_GB2312" w:cs="仿宋_GB2312"/>
          <w:b/>
          <w:bCs/>
          <w:i w:val="0"/>
          <w:iCs w:val="0"/>
          <w:caps w:val="0"/>
          <w:color w:val="000000"/>
          <w:spacing w:val="0"/>
          <w:sz w:val="32"/>
          <w:szCs w:val="32"/>
          <w:highlight w:val="none"/>
          <w:lang w:val="en-US" w:eastAsia="zh-Hans"/>
        </w:rPr>
        <w:t>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lang w:val="en-US" w:eastAsia="zh-Hans"/>
        </w:rPr>
        <w:t>1.物业服务收费等级标准依据《榆林市住宅小区物业服务等级指导标准》(榆政住建发</w:t>
      </w:r>
      <w:r>
        <w:rPr>
          <w:rFonts w:hint="eastAsia" w:ascii="仿宋_GB2312" w:hAnsi="仿宋_GB2312" w:eastAsia="仿宋_GB2312" w:cs="仿宋_GB2312"/>
          <w:i w:val="0"/>
          <w:iCs w:val="0"/>
          <w:caps w:val="0"/>
          <w:color w:val="000000"/>
          <w:spacing w:val="0"/>
          <w:sz w:val="32"/>
          <w:szCs w:val="32"/>
          <w:highlight w:val="none"/>
          <w:lang w:val="en-US" w:eastAsia="zh-CN"/>
        </w:rPr>
        <w:t>[</w:t>
      </w:r>
      <w:r>
        <w:rPr>
          <w:rFonts w:hint="eastAsia" w:ascii="仿宋_GB2312" w:hAnsi="仿宋_GB2312" w:eastAsia="仿宋_GB2312" w:cs="仿宋_GB2312"/>
          <w:i w:val="0"/>
          <w:iCs w:val="0"/>
          <w:caps w:val="0"/>
          <w:color w:val="000000"/>
          <w:spacing w:val="0"/>
          <w:sz w:val="32"/>
          <w:szCs w:val="32"/>
          <w:highlight w:val="none"/>
          <w:lang w:val="en-US" w:eastAsia="zh-Hans"/>
        </w:rPr>
        <w:t>2021</w:t>
      </w:r>
      <w:r>
        <w:rPr>
          <w:rFonts w:hint="eastAsia" w:ascii="仿宋_GB2312" w:hAnsi="仿宋_GB2312" w:eastAsia="仿宋_GB2312" w:cs="仿宋_GB2312"/>
          <w:i w:val="0"/>
          <w:iCs w:val="0"/>
          <w:caps w:val="0"/>
          <w:color w:val="000000"/>
          <w:spacing w:val="0"/>
          <w:sz w:val="32"/>
          <w:szCs w:val="32"/>
          <w:highlight w:val="none"/>
          <w:lang w:val="en-US" w:eastAsia="zh-CN"/>
        </w:rPr>
        <w:t>]</w:t>
      </w:r>
      <w:r>
        <w:rPr>
          <w:rFonts w:hint="eastAsia" w:ascii="仿宋_GB2312" w:hAnsi="仿宋_GB2312" w:eastAsia="仿宋_GB2312" w:cs="仿宋_GB2312"/>
          <w:i w:val="0"/>
          <w:iCs w:val="0"/>
          <w:caps w:val="0"/>
          <w:color w:val="000000"/>
          <w:spacing w:val="0"/>
          <w:sz w:val="32"/>
          <w:szCs w:val="32"/>
          <w:highlight w:val="none"/>
          <w:lang w:val="en-US" w:eastAsia="zh-Hans"/>
        </w:rPr>
        <w:t>133号)</w:t>
      </w:r>
      <w:r>
        <w:rPr>
          <w:rFonts w:hint="eastAsia" w:ascii="仿宋_GB2312" w:hAnsi="仿宋_GB2312" w:eastAsia="仿宋_GB2312" w:cs="仿宋_GB2312"/>
          <w:i w:val="0"/>
          <w:iCs w:val="0"/>
          <w:caps w:val="0"/>
          <w:color w:val="000000"/>
          <w:spacing w:val="0"/>
          <w:sz w:val="32"/>
          <w:szCs w:val="32"/>
          <w:highlight w:val="none"/>
          <w:lang w:val="en-US" w:eastAsia="zh-CN"/>
        </w:rPr>
        <w:t>，</w:t>
      </w:r>
      <w:r>
        <w:rPr>
          <w:rFonts w:hint="eastAsia" w:ascii="仿宋_GB2312" w:hAnsi="仿宋_GB2312" w:eastAsia="仿宋_GB2312" w:cs="仿宋_GB2312"/>
          <w:i w:val="0"/>
          <w:iCs w:val="0"/>
          <w:caps w:val="0"/>
          <w:color w:val="000000"/>
          <w:spacing w:val="0"/>
          <w:sz w:val="32"/>
          <w:szCs w:val="32"/>
          <w:highlight w:val="none"/>
          <w:lang w:val="en-US" w:eastAsia="zh-Hans"/>
        </w:rPr>
        <w:t>按照质价相符的原则制定,物业服务达不到三级服务标准的</w:t>
      </w:r>
      <w:r>
        <w:rPr>
          <w:rFonts w:hint="eastAsia" w:ascii="仿宋_GB2312" w:hAnsi="仿宋_GB2312" w:eastAsia="仿宋_GB2312" w:cs="仿宋_GB2312"/>
          <w:i w:val="0"/>
          <w:iCs w:val="0"/>
          <w:caps w:val="0"/>
          <w:color w:val="000000"/>
          <w:spacing w:val="0"/>
          <w:sz w:val="32"/>
          <w:szCs w:val="32"/>
          <w:highlight w:val="none"/>
          <w:lang w:val="en-US" w:eastAsia="zh-CN"/>
        </w:rPr>
        <w:t>，</w:t>
      </w:r>
      <w:r>
        <w:rPr>
          <w:rFonts w:hint="eastAsia" w:ascii="仿宋_GB2312" w:hAnsi="仿宋_GB2312" w:eastAsia="仿宋_GB2312" w:cs="仿宋_GB2312"/>
          <w:i w:val="0"/>
          <w:iCs w:val="0"/>
          <w:caps w:val="0"/>
          <w:color w:val="000000"/>
          <w:spacing w:val="0"/>
          <w:sz w:val="32"/>
          <w:szCs w:val="32"/>
          <w:highlight w:val="none"/>
          <w:lang w:val="en-US" w:eastAsia="zh-Hans"/>
        </w:rPr>
        <w:t>按等外标准执行</w:t>
      </w:r>
      <w:r>
        <w:rPr>
          <w:rFonts w:hint="eastAsia" w:ascii="仿宋_GB2312" w:hAnsi="仿宋_GB2312" w:eastAsia="仿宋_GB2312" w:cs="仿宋_GB2312"/>
          <w:i w:val="0"/>
          <w:iCs w:val="0"/>
          <w:caps w:val="0"/>
          <w:color w:val="000000"/>
          <w:spacing w:val="0"/>
          <w:sz w:val="32"/>
          <w:szCs w:val="32"/>
          <w:highlight w:val="none"/>
          <w:lang w:val="en-US" w:eastAsia="zh-CN"/>
        </w:rPr>
        <w:t>；</w:t>
      </w:r>
      <w:r>
        <w:rPr>
          <w:rFonts w:hint="eastAsia" w:ascii="仿宋_GB2312" w:hAnsi="仿宋_GB2312" w:eastAsia="仿宋_GB2312" w:cs="仿宋_GB2312"/>
          <w:i w:val="0"/>
          <w:iCs w:val="0"/>
          <w:caps w:val="0"/>
          <w:color w:val="000000"/>
          <w:spacing w:val="0"/>
          <w:sz w:val="32"/>
          <w:szCs w:val="32"/>
          <w:highlight w:val="none"/>
          <w:lang w:val="en-US" w:eastAsia="zh-Hans"/>
        </w:rPr>
        <w:cr/>
      </w:r>
      <w:r>
        <w:rPr>
          <w:rFonts w:hint="eastAsia" w:ascii="仿宋_GB2312" w:hAnsi="仿宋_GB2312" w:eastAsia="仿宋_GB2312" w:cs="仿宋_GB2312"/>
          <w:i w:val="0"/>
          <w:iCs w:val="0"/>
          <w:caps w:val="0"/>
          <w:color w:val="000000"/>
          <w:spacing w:val="0"/>
          <w:sz w:val="32"/>
          <w:szCs w:val="32"/>
          <w:highlight w:val="none"/>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lang w:val="en-US" w:eastAsia="zh-Hans"/>
        </w:rPr>
        <w:t>2.老旧小区改造后带电梯的住宅物业服务费按照不高于高层等外收费标准执行</w:t>
      </w:r>
      <w:r>
        <w:rPr>
          <w:rFonts w:hint="eastAsia" w:ascii="仿宋_GB2312" w:hAnsi="仿宋_GB2312" w:eastAsia="仿宋_GB2312" w:cs="仿宋_GB2312"/>
          <w:i w:val="0"/>
          <w:iCs w:val="0"/>
          <w:caps w:val="0"/>
          <w:color w:val="000000"/>
          <w:spacing w:val="0"/>
          <w:sz w:val="32"/>
          <w:szCs w:val="32"/>
          <w:highlight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both"/>
        <w:textAlignment w:val="auto"/>
        <w:rPr>
          <w:rFonts w:hint="eastAsia" w:ascii="仿宋_GB2312" w:hAnsi="仿宋_GB2312" w:eastAsia="仿宋_GB2312" w:cs="仿宋_GB2312"/>
          <w:color w:val="000000"/>
          <w:lang w:val="en-US" w:eastAsia="zh-Hans"/>
        </w:rPr>
      </w:pPr>
      <w:r>
        <w:rPr>
          <w:rFonts w:hint="eastAsia" w:ascii="仿宋_GB2312" w:hAnsi="仿宋_GB2312" w:eastAsia="仿宋_GB2312" w:cs="仿宋_GB2312"/>
          <w:i w:val="0"/>
          <w:iCs w:val="0"/>
          <w:caps w:val="0"/>
          <w:color w:val="000000"/>
          <w:spacing w:val="0"/>
          <w:sz w:val="32"/>
          <w:szCs w:val="32"/>
          <w:highlight w:val="none"/>
          <w:lang w:val="en-US" w:eastAsia="zh-Hans"/>
        </w:rPr>
        <w:t>3.上述收费标准为最高限价</w:t>
      </w:r>
      <w:r>
        <w:rPr>
          <w:rFonts w:hint="eastAsia" w:ascii="仿宋_GB2312" w:hAnsi="仿宋_GB2312" w:eastAsia="仿宋_GB2312" w:cs="仿宋_GB2312"/>
          <w:i w:val="0"/>
          <w:iCs w:val="0"/>
          <w:caps w:val="0"/>
          <w:color w:val="000000"/>
          <w:spacing w:val="0"/>
          <w:sz w:val="32"/>
          <w:szCs w:val="32"/>
          <w:highlight w:val="none"/>
          <w:lang w:val="en-US" w:eastAsia="zh-CN"/>
        </w:rPr>
        <w:t>，</w:t>
      </w:r>
      <w:r>
        <w:rPr>
          <w:rFonts w:hint="eastAsia" w:ascii="仿宋_GB2312" w:hAnsi="仿宋_GB2312" w:eastAsia="仿宋_GB2312" w:cs="仿宋_GB2312"/>
          <w:i w:val="0"/>
          <w:iCs w:val="0"/>
          <w:caps w:val="0"/>
          <w:color w:val="000000"/>
          <w:spacing w:val="0"/>
          <w:sz w:val="32"/>
          <w:szCs w:val="32"/>
          <w:highlight w:val="none"/>
          <w:lang w:val="en-US" w:eastAsia="zh-Hans"/>
        </w:rPr>
        <w:t>下浮不限</w:t>
      </w:r>
      <w:r>
        <w:rPr>
          <w:rFonts w:hint="eastAsia" w:ascii="仿宋_GB2312" w:hAnsi="仿宋_GB2312" w:eastAsia="仿宋_GB2312" w:cs="仿宋_GB2312"/>
          <w:i w:val="0"/>
          <w:iCs w:val="0"/>
          <w:caps w:val="0"/>
          <w:color w:val="000000"/>
          <w:spacing w:val="0"/>
          <w:sz w:val="32"/>
          <w:szCs w:val="32"/>
          <w:highlight w:val="none"/>
          <w:lang w:val="en-US" w:eastAsia="zh-CN"/>
        </w:rPr>
        <w:t>。</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Songti SC">
    <w:altName w:val="宋体"/>
    <w:panose1 w:val="02010800040101010101"/>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5A74C"/>
    <w:rsid w:val="57F5A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0"/>
    <w:pPr>
      <w:spacing w:after="120"/>
    </w:pPr>
    <w:rPr>
      <w:rFonts w:eastAsia="Songti SC"/>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2022-08-08T14:18:00Z</dcterms:created>
  <dc:creator>xc-201009285</dc:creator>
  <cp:lastModifiedBy>xc-201009285</cp:lastModifiedBy>
  <dcterms:modified xsi:type="dcterms:W3CDTF">2022-08-08T14:21:25Z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