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600" w:lineRule="exact"/>
        <w:jc w:val="center"/>
        <w:textAlignment w:val="auto"/>
        <w:rPr>
          <w:rFonts w:hint="eastAsia" w:ascii="华文中宋" w:hAnsi="华文中宋" w:eastAsia="华文中宋" w:cs="华文中宋"/>
          <w:b/>
          <w:bCs/>
          <w:color w:val="auto"/>
          <w:kern w:val="0"/>
          <w:sz w:val="44"/>
          <w:szCs w:val="44"/>
        </w:rPr>
      </w:pPr>
      <w:r>
        <w:rPr>
          <w:rFonts w:hint="eastAsia" w:ascii="华文中宋" w:hAnsi="华文中宋" w:eastAsia="华文中宋" w:cs="华文中宋"/>
          <w:b/>
          <w:bCs/>
          <w:color w:val="auto"/>
          <w:spacing w:val="-12"/>
          <w:kern w:val="0"/>
          <w:sz w:val="44"/>
          <w:szCs w:val="44"/>
        </w:rPr>
        <w:t>关于清涧县2</w:t>
      </w:r>
      <w:r>
        <w:rPr>
          <w:rFonts w:hint="eastAsia" w:ascii="华文中宋" w:hAnsi="华文中宋" w:eastAsia="华文中宋" w:cs="华文中宋"/>
          <w:b/>
          <w:bCs/>
          <w:color w:val="auto"/>
          <w:spacing w:val="-12"/>
          <w:kern w:val="0"/>
          <w:sz w:val="44"/>
          <w:szCs w:val="44"/>
          <w:lang w:val="en-US" w:eastAsia="zh-CN"/>
        </w:rPr>
        <w:t>025</w:t>
      </w:r>
      <w:r>
        <w:rPr>
          <w:rFonts w:hint="eastAsia" w:ascii="华文中宋" w:hAnsi="华文中宋" w:eastAsia="华文中宋" w:cs="华文中宋"/>
          <w:b/>
          <w:bCs/>
          <w:color w:val="auto"/>
          <w:spacing w:val="-12"/>
          <w:kern w:val="0"/>
          <w:sz w:val="44"/>
          <w:szCs w:val="44"/>
        </w:rPr>
        <w:t>年财政预算执行情况</w:t>
      </w:r>
      <w:r>
        <w:rPr>
          <w:rFonts w:hint="eastAsia" w:ascii="华文中宋" w:hAnsi="华文中宋" w:eastAsia="华文中宋" w:cs="华文中宋"/>
          <w:b/>
          <w:bCs/>
          <w:color w:val="auto"/>
          <w:kern w:val="0"/>
          <w:sz w:val="44"/>
          <w:szCs w:val="44"/>
        </w:rPr>
        <w:t>和</w:t>
      </w:r>
    </w:p>
    <w:p>
      <w:pPr>
        <w:keepNext w:val="0"/>
        <w:keepLines w:val="0"/>
        <w:pageBreakBefore w:val="0"/>
        <w:widowControl w:val="0"/>
        <w:kinsoku/>
        <w:wordWrap/>
        <w:overflowPunct/>
        <w:topLinePunct/>
        <w:autoSpaceDE/>
        <w:autoSpaceDN/>
        <w:bidi w:val="0"/>
        <w:adjustRightInd/>
        <w:snapToGrid/>
        <w:spacing w:line="600" w:lineRule="exact"/>
        <w:jc w:val="center"/>
        <w:textAlignment w:val="auto"/>
        <w:rPr>
          <w:rFonts w:hint="eastAsia" w:ascii="楷体" w:hAnsi="楷体" w:eastAsia="楷体" w:cs="楷体"/>
          <w:color w:val="auto"/>
          <w:spacing w:val="-12"/>
          <w:w w:val="99"/>
          <w:kern w:val="0"/>
          <w:sz w:val="32"/>
          <w:szCs w:val="32"/>
        </w:rPr>
      </w:pPr>
      <w:r>
        <w:rPr>
          <w:rFonts w:hint="eastAsia" w:ascii="华文中宋" w:hAnsi="华文中宋" w:eastAsia="华文中宋" w:cs="华文中宋"/>
          <w:b/>
          <w:bCs/>
          <w:color w:val="auto"/>
          <w:kern w:val="0"/>
          <w:sz w:val="44"/>
          <w:szCs w:val="44"/>
          <w:lang w:val="en-US" w:eastAsia="zh-CN"/>
        </w:rPr>
        <w:t>2026</w:t>
      </w:r>
      <w:r>
        <w:rPr>
          <w:rFonts w:hint="eastAsia" w:ascii="华文中宋" w:hAnsi="华文中宋" w:eastAsia="华文中宋" w:cs="华文中宋"/>
          <w:b/>
          <w:bCs/>
          <w:color w:val="auto"/>
          <w:kern w:val="0"/>
          <w:sz w:val="44"/>
          <w:szCs w:val="44"/>
        </w:rPr>
        <w:t>年财政预算草案的报告</w:t>
      </w:r>
    </w:p>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hint="eastAsia" w:ascii="楷体_GB2312" w:hAnsi="楷体_GB2312" w:eastAsia="楷体_GB2312" w:cs="楷体_GB2312"/>
          <w:b w:val="0"/>
          <w:bCs w:val="0"/>
          <w:color w:val="auto"/>
          <w:w w:val="100"/>
          <w:kern w:val="0"/>
          <w:sz w:val="32"/>
          <w:szCs w:val="32"/>
          <w:shd w:val="clear"/>
          <w:lang w:val="en-US" w:eastAsia="zh-CN"/>
        </w:rPr>
      </w:pPr>
      <w:r>
        <w:rPr>
          <w:rFonts w:hint="eastAsia" w:ascii="楷体_GB2312" w:hAnsi="楷体_GB2312" w:eastAsia="楷体_GB2312" w:cs="楷体_GB2312"/>
          <w:b w:val="0"/>
          <w:bCs w:val="0"/>
          <w:color w:val="auto"/>
          <w:w w:val="100"/>
          <w:kern w:val="0"/>
          <w:sz w:val="32"/>
          <w:szCs w:val="32"/>
          <w:shd w:val="clear"/>
          <w:lang w:val="en-US" w:eastAsia="zh-CN"/>
        </w:rPr>
        <w:t>——2026年3月1日在清涧县第十九届</w:t>
      </w:r>
    </w:p>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hint="eastAsia" w:ascii="楷体_GB2312" w:hAnsi="楷体_GB2312" w:eastAsia="楷体_GB2312" w:cs="楷体_GB2312"/>
          <w:b w:val="0"/>
          <w:bCs w:val="0"/>
          <w:color w:val="auto"/>
          <w:w w:val="100"/>
          <w:kern w:val="0"/>
          <w:sz w:val="32"/>
          <w:szCs w:val="32"/>
          <w:shd w:val="clear"/>
          <w:lang w:val="en-US" w:eastAsia="zh-CN"/>
        </w:rPr>
      </w:pPr>
      <w:r>
        <w:rPr>
          <w:rFonts w:hint="eastAsia" w:ascii="楷体_GB2312" w:hAnsi="楷体_GB2312" w:eastAsia="楷体_GB2312" w:cs="楷体_GB2312"/>
          <w:b w:val="0"/>
          <w:bCs w:val="0"/>
          <w:color w:val="auto"/>
          <w:w w:val="100"/>
          <w:kern w:val="0"/>
          <w:sz w:val="32"/>
          <w:szCs w:val="32"/>
          <w:shd w:val="clear"/>
          <w:lang w:val="en-US" w:eastAsia="zh-CN"/>
        </w:rPr>
        <w:t>人民代表大会第五次会议上</w:t>
      </w:r>
    </w:p>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hint="eastAsia" w:ascii="楷体_GB2312" w:hAnsi="楷体_GB2312" w:eastAsia="楷体_GB2312" w:cs="楷体_GB2312"/>
          <w:b w:val="0"/>
          <w:bCs w:val="0"/>
          <w:color w:val="auto"/>
          <w:w w:val="100"/>
          <w:kern w:val="0"/>
          <w:sz w:val="32"/>
          <w:szCs w:val="32"/>
          <w:shd w:val="clear"/>
          <w:lang w:val="en-US" w:eastAsia="zh-CN"/>
        </w:rPr>
      </w:pPr>
      <w:r>
        <w:rPr>
          <w:rFonts w:hint="eastAsia" w:ascii="楷体_GB2312" w:hAnsi="楷体_GB2312" w:eastAsia="楷体_GB2312" w:cs="楷体_GB2312"/>
          <w:b w:val="0"/>
          <w:bCs w:val="0"/>
          <w:color w:val="auto"/>
          <w:w w:val="100"/>
          <w:kern w:val="0"/>
          <w:sz w:val="32"/>
          <w:szCs w:val="32"/>
          <w:shd w:val="clear"/>
          <w:lang w:val="en-US" w:eastAsia="zh-CN"/>
        </w:rPr>
        <w:t>清涧县财政局</w:t>
      </w:r>
    </w:p>
    <w:p>
      <w:pPr>
        <w:keepNext w:val="0"/>
        <w:keepLines w:val="0"/>
        <w:pageBreakBefore w:val="0"/>
        <w:widowControl/>
        <w:kinsoku/>
        <w:wordWrap/>
        <w:overflowPunct/>
        <w:autoSpaceDE/>
        <w:autoSpaceDN/>
        <w:bidi w:val="0"/>
        <w:spacing w:line="600" w:lineRule="exact"/>
        <w:jc w:val="both"/>
        <w:textAlignment w:val="auto"/>
        <w:rPr>
          <w:rFonts w:hint="eastAsia" w:ascii="方正楷体_GB2312" w:hAnsi="方正楷体_GB2312" w:eastAsia="方正楷体_GB2312" w:cs="方正楷体_GB2312"/>
          <w:b w:val="0"/>
          <w:bCs w:val="0"/>
          <w:color w:val="auto"/>
          <w:w w:val="100"/>
          <w:kern w:val="0"/>
          <w:sz w:val="32"/>
          <w:szCs w:val="32"/>
          <w:shd w:val="clear"/>
          <w:lang w:val="en-US" w:eastAsia="zh-CN"/>
        </w:rPr>
      </w:pPr>
    </w:p>
    <w:p>
      <w:pPr>
        <w:keepNext w:val="0"/>
        <w:keepLines w:val="0"/>
        <w:pageBreakBefore w:val="0"/>
        <w:widowControl/>
        <w:kinsoku/>
        <w:wordWrap/>
        <w:overflowPunct/>
        <w:autoSpaceDE/>
        <w:autoSpaceDN/>
        <w:bidi w:val="0"/>
        <w:spacing w:line="600" w:lineRule="exact"/>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color w:val="auto"/>
          <w:kern w:val="2"/>
          <w:sz w:val="32"/>
          <w:szCs w:val="32"/>
          <w:lang w:val="en-US" w:eastAsia="zh-CN" w:bidi="ar-SA"/>
        </w:rPr>
        <w:t>各位代表：</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0"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color w:val="auto"/>
          <w:kern w:val="2"/>
          <w:sz w:val="32"/>
          <w:szCs w:val="32"/>
          <w:lang w:val="en-US" w:eastAsia="zh-CN" w:bidi="ar-SA"/>
        </w:rPr>
        <w:t>受县人民政府委托，现将2025年财政预算执行情况和2026年财政预算草案报告如下，请审议，并请各位政协委员和其他列席人员提出宝贵意见。</w:t>
      </w:r>
    </w:p>
    <w:p>
      <w:pPr>
        <w:keepNext w:val="0"/>
        <w:keepLines w:val="0"/>
        <w:pageBreakBefore w:val="0"/>
        <w:kinsoku/>
        <w:wordWrap/>
        <w:overflowPunct/>
        <w:topLinePunct/>
        <w:autoSpaceDE/>
        <w:autoSpaceDN/>
        <w:bidi w:val="0"/>
        <w:adjustRightInd w:val="0"/>
        <w:spacing w:line="600" w:lineRule="exact"/>
        <w:ind w:left="0" w:leftChars="0" w:firstLine="640" w:firstLineChars="200"/>
        <w:textAlignment w:val="auto"/>
        <w:rPr>
          <w:rFonts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一、</w:t>
      </w:r>
      <w:r>
        <w:rPr>
          <w:rFonts w:hint="eastAsia" w:ascii="黑体" w:hAnsi="黑体" w:eastAsia="黑体" w:cs="黑体"/>
          <w:b w:val="0"/>
          <w:bCs w:val="0"/>
          <w:color w:val="auto"/>
          <w:kern w:val="0"/>
          <w:sz w:val="32"/>
          <w:szCs w:val="32"/>
          <w:lang w:val="en-US" w:eastAsia="zh-CN"/>
        </w:rPr>
        <w:t>2025</w:t>
      </w:r>
      <w:r>
        <w:rPr>
          <w:rFonts w:hint="eastAsia" w:ascii="黑体" w:hAnsi="黑体" w:eastAsia="黑体" w:cs="黑体"/>
          <w:b w:val="0"/>
          <w:bCs w:val="0"/>
          <w:color w:val="auto"/>
          <w:kern w:val="0"/>
          <w:sz w:val="32"/>
          <w:szCs w:val="32"/>
        </w:rPr>
        <w:t>年全县财政预算执行情况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ahoma"/>
          <w:color w:val="auto"/>
          <w:kern w:val="2"/>
          <w:sz w:val="32"/>
          <w:szCs w:val="32"/>
          <w:lang w:val="en-US" w:eastAsia="zh-CN" w:bidi="ar-SA"/>
        </w:rPr>
      </w:pPr>
      <w:r>
        <w:rPr>
          <w:rFonts w:hint="default" w:ascii="仿宋_GB2312" w:hAnsi="仿宋" w:eastAsia="仿宋_GB2312" w:cs="Tahoma"/>
          <w:color w:val="auto"/>
          <w:kern w:val="2"/>
          <w:sz w:val="32"/>
          <w:szCs w:val="32"/>
          <w:lang w:val="en-US" w:eastAsia="zh-CN" w:bidi="ar-SA"/>
        </w:rPr>
        <w:t>202</w:t>
      </w:r>
      <w:r>
        <w:rPr>
          <w:rFonts w:hint="eastAsia" w:ascii="仿宋_GB2312" w:hAnsi="仿宋" w:eastAsia="仿宋_GB2312" w:cs="Tahoma"/>
          <w:color w:val="auto"/>
          <w:kern w:val="2"/>
          <w:sz w:val="32"/>
          <w:szCs w:val="32"/>
          <w:lang w:val="en-US" w:eastAsia="zh-CN" w:bidi="ar-SA"/>
        </w:rPr>
        <w:t>5年，在县委、县政府的坚强领导和县人大、县政协的监督支持下，县财政部门坚持以习近平新时代中国特色社会主义思想为指导，全面贯彻落实党的二十大和二十届二中、三中、四中全会精神及习近平总书记历次来陕考察重要讲话及重要指示批示精神，持续深化拓展“三个年”活动，纵深推进“生态立县、产业富县、文旅兴县”三大战略，坚持稳中求进工作总基调，全面落实县委、政府各项决策部署，积极发挥财政职能作用，扎实做好财政收支管理，“三保”保障，坚持促发展与防风险并举，用好地方政府债券资金，努力推动经济社会持续健康发展。</w:t>
      </w:r>
    </w:p>
    <w:p>
      <w:pPr>
        <w:keepNext w:val="0"/>
        <w:keepLines w:val="0"/>
        <w:pageBreakBefore w:val="0"/>
        <w:widowControl/>
        <w:kinsoku/>
        <w:wordWrap/>
        <w:overflowPunct/>
        <w:topLinePunct w:val="0"/>
        <w:autoSpaceDE/>
        <w:autoSpaceDN/>
        <w:bidi w:val="0"/>
        <w:adjustRightInd w:val="0"/>
        <w:snapToGrid w:val="0"/>
        <w:spacing w:line="600" w:lineRule="exact"/>
        <w:ind w:firstLine="642" w:firstLineChars="200"/>
        <w:jc w:val="both"/>
        <w:textAlignment w:val="auto"/>
        <w:rPr>
          <w:rFonts w:hint="eastAsia" w:ascii="楷体_GB2312" w:hAnsi="楷体_GB2312" w:eastAsia="楷体_GB2312" w:cs="楷体_GB2312"/>
          <w:b/>
          <w:bCs/>
          <w:color w:val="auto"/>
          <w:w w:val="100"/>
          <w:kern w:val="0"/>
          <w:sz w:val="32"/>
          <w:szCs w:val="32"/>
          <w:shd w:val="clear"/>
          <w:lang w:val="en-US" w:eastAsia="zh-CN"/>
        </w:rPr>
      </w:pPr>
      <w:r>
        <w:rPr>
          <w:rFonts w:hint="eastAsia" w:ascii="楷体_GB2312" w:hAnsi="楷体_GB2312" w:eastAsia="楷体_GB2312" w:cs="楷体_GB2312"/>
          <w:b/>
          <w:bCs/>
          <w:color w:val="auto"/>
          <w:w w:val="100"/>
          <w:kern w:val="0"/>
          <w:sz w:val="32"/>
          <w:szCs w:val="32"/>
          <w:shd w:val="clear"/>
          <w:lang w:val="en-US" w:eastAsia="zh-CN"/>
        </w:rPr>
        <w:t>（一）一般公共预算执行情况</w:t>
      </w:r>
    </w:p>
    <w:p>
      <w:pPr>
        <w:keepNext w:val="0"/>
        <w:keepLines w:val="0"/>
        <w:pageBreakBefore w:val="0"/>
        <w:kinsoku/>
        <w:wordWrap/>
        <w:overflowPunct/>
        <w:autoSpaceDE/>
        <w:autoSpaceDN/>
        <w:bidi w:val="0"/>
        <w:spacing w:line="600" w:lineRule="exact"/>
        <w:ind w:firstLine="640" w:firstLineChars="200"/>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color w:val="auto"/>
          <w:kern w:val="2"/>
          <w:sz w:val="32"/>
          <w:szCs w:val="32"/>
          <w:lang w:val="en-US" w:eastAsia="zh-CN" w:bidi="ar-SA"/>
        </w:rPr>
        <w:t>2025年，我县一般公共预算收入完成12186万元，完成调整一般公共预算收入12165万元的100.17%，比上年同期增加1121万元，同比增长10.13%。其中税收收入4434万元，非税收入7752万元，税收收入比重占到36.39%，收入质量不高。加上中省市对我县的税收返还、各项转移支付补助资金等，全县收入总计416178万元。上级补助收入达到335410万元，上级补助收入中：返还性收入1539万元，均衡性转移支付收入91507万元，县级基本财力保障机制奖补资金收入14987万元，结算补助收入2171万元，产粮(油)大县奖励资金收入201万元，重点生态功能区转移支付收入8097万元，固定数额补助收入19366万元，革命老区转移支付收入987万元，</w:t>
      </w:r>
      <w:bookmarkStart w:id="0" w:name="OLE_LINK1"/>
      <w:r>
        <w:rPr>
          <w:rFonts w:hint="eastAsia" w:ascii="仿宋_GB2312" w:hAnsi="仿宋" w:eastAsia="仿宋_GB2312" w:cs="Tahoma"/>
          <w:color w:val="auto"/>
          <w:kern w:val="2"/>
          <w:sz w:val="32"/>
          <w:szCs w:val="32"/>
          <w:lang w:val="en-US" w:eastAsia="zh-CN" w:bidi="ar-SA"/>
        </w:rPr>
        <w:t>巩固脱贫攻坚成果衔接乡村振兴转移支付收入</w:t>
      </w:r>
      <w:bookmarkEnd w:id="0"/>
      <w:r>
        <w:rPr>
          <w:rFonts w:hint="eastAsia" w:ascii="仿宋_GB2312" w:hAnsi="仿宋" w:eastAsia="仿宋_GB2312" w:cs="Tahoma"/>
          <w:color w:val="auto"/>
          <w:kern w:val="2"/>
          <w:sz w:val="32"/>
          <w:szCs w:val="32"/>
          <w:lang w:val="en-US" w:eastAsia="zh-CN" w:bidi="ar-SA"/>
        </w:rPr>
        <w:t>10889万元，一般公共服务共同财政事权转移支付收入240万元，公共安全共同财政事权转移支付收入1035万元，教育共同财政事权转移支付收入4158</w:t>
      </w:r>
      <w:bookmarkStart w:id="1" w:name="_Hlk222759225"/>
      <w:r>
        <w:rPr>
          <w:rFonts w:hint="eastAsia" w:ascii="仿宋_GB2312" w:hAnsi="仿宋" w:eastAsia="仿宋_GB2312" w:cs="Tahoma"/>
          <w:color w:val="auto"/>
          <w:kern w:val="2"/>
          <w:sz w:val="32"/>
          <w:szCs w:val="32"/>
          <w:lang w:val="en-US" w:eastAsia="zh-CN" w:bidi="ar-SA"/>
        </w:rPr>
        <w:t>万元</w:t>
      </w:r>
      <w:bookmarkEnd w:id="1"/>
      <w:r>
        <w:rPr>
          <w:rFonts w:hint="eastAsia" w:ascii="仿宋_GB2312" w:hAnsi="仿宋" w:eastAsia="仿宋_GB2312" w:cs="Tahoma"/>
          <w:color w:val="auto"/>
          <w:kern w:val="2"/>
          <w:sz w:val="32"/>
          <w:szCs w:val="32"/>
          <w:lang w:val="en-US" w:eastAsia="zh-CN" w:bidi="ar-SA"/>
        </w:rPr>
        <w:t>，文化旅游体育与传媒共同财政事权转移支付收入1792万元，社会保障共同财政事权转移支付收入23150万元，医疗卫生共同财政事权转移支付收入3489万元，节能环保共同财政事权转移支付收入459万元，农林水共同财政事权转移支付收入14887万元，交通运输共同财政事权转移支付收入2602万元，住房保障共同财政事权转移支付收入501万元，灾害防治及应急管理共同财政事权转移支付收入30万元，专项转移支付收入133323万元。上年结余3451万元；债务转贷收入23250万元；动用预算稳定调节基金41881万元。</w:t>
      </w:r>
    </w:p>
    <w:p>
      <w:pPr>
        <w:keepNext w:val="0"/>
        <w:keepLines w:val="0"/>
        <w:pageBreakBefore w:val="0"/>
        <w:kinsoku/>
        <w:wordWrap/>
        <w:overflowPunct/>
        <w:autoSpaceDE/>
        <w:autoSpaceDN/>
        <w:bidi w:val="0"/>
        <w:spacing w:line="600" w:lineRule="exact"/>
        <w:ind w:firstLine="642" w:firstLineChars="200"/>
        <w:textAlignment w:val="auto"/>
        <w:rPr>
          <w:rFonts w:hint="eastAsia" w:ascii="仿宋_GB2312" w:hAnsi="仿宋" w:eastAsia="仿宋_GB2312" w:cs="Tahoma"/>
          <w:b/>
          <w:bCs/>
          <w:color w:val="auto"/>
          <w:kern w:val="2"/>
          <w:sz w:val="32"/>
          <w:szCs w:val="32"/>
          <w:lang w:val="en-US" w:eastAsia="zh-CN" w:bidi="ar-SA"/>
        </w:rPr>
      </w:pPr>
      <w:r>
        <w:rPr>
          <w:rFonts w:hint="eastAsia" w:ascii="仿宋_GB2312" w:hAnsi="仿宋" w:eastAsia="仿宋_GB2312" w:cs="Tahoma"/>
          <w:b/>
          <w:bCs/>
          <w:color w:val="auto"/>
          <w:kern w:val="2"/>
          <w:sz w:val="32"/>
          <w:szCs w:val="32"/>
          <w:lang w:val="en-US" w:eastAsia="zh-CN" w:bidi="ar-SA"/>
        </w:rPr>
        <w:t>1.地方财政收入主要完成情况：</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2" w:firstLineChars="200"/>
        <w:jc w:val="both"/>
        <w:textAlignment w:val="auto"/>
        <w:rPr>
          <w:rFonts w:hint="eastAsia" w:ascii="仿宋_GB2312" w:hAnsi="仿宋" w:eastAsia="仿宋_GB2312" w:cs="Tahoma"/>
          <w:b/>
          <w:bCs/>
          <w:color w:val="auto"/>
          <w:kern w:val="2"/>
          <w:sz w:val="32"/>
          <w:szCs w:val="32"/>
          <w:lang w:val="en-US" w:eastAsia="zh-CN" w:bidi="ar-SA"/>
        </w:rPr>
      </w:pPr>
      <w:r>
        <w:rPr>
          <w:rFonts w:hint="eastAsia" w:ascii="仿宋_GB2312" w:hAnsi="仿宋" w:eastAsia="仿宋_GB2312" w:cs="Tahoma"/>
          <w:b/>
          <w:bCs/>
          <w:color w:val="auto"/>
          <w:kern w:val="2"/>
          <w:sz w:val="32"/>
          <w:szCs w:val="32"/>
          <w:lang w:val="en-US" w:eastAsia="zh-CN" w:bidi="ar-SA"/>
        </w:rPr>
        <w:t>税收收入完成4434万元，其中：</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0"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color w:val="auto"/>
          <w:kern w:val="2"/>
          <w:sz w:val="32"/>
          <w:szCs w:val="32"/>
          <w:lang w:val="en-US" w:eastAsia="zh-CN" w:bidi="ar-SA"/>
        </w:rPr>
        <w:t xml:space="preserve">增值税完成                              2487万元； </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0"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color w:val="auto"/>
          <w:kern w:val="2"/>
          <w:sz w:val="32"/>
          <w:szCs w:val="32"/>
          <w:lang w:val="en-US" w:eastAsia="zh-CN" w:bidi="ar-SA"/>
        </w:rPr>
        <w:t xml:space="preserve">企业所得税完成                           200万元；   </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0"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color w:val="auto"/>
          <w:kern w:val="2"/>
          <w:sz w:val="32"/>
          <w:szCs w:val="32"/>
          <w:lang w:val="en-US" w:eastAsia="zh-CN" w:bidi="ar-SA"/>
        </w:rPr>
        <w:t>个人所得税完成                           115万元；</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0" w:firstLineChars="200"/>
        <w:jc w:val="both"/>
        <w:textAlignment w:val="auto"/>
        <w:rPr>
          <w:rFonts w:hint="default" w:ascii="仿宋_GB2312" w:hAnsi="仿宋" w:eastAsia="仿宋_GB2312" w:cs="Tahoma"/>
          <w:color w:val="auto"/>
          <w:kern w:val="2"/>
          <w:sz w:val="32"/>
          <w:szCs w:val="32"/>
          <w:lang w:val="en-US" w:eastAsia="zh-CN" w:bidi="ar-SA"/>
        </w:rPr>
      </w:pPr>
      <w:r>
        <w:rPr>
          <w:rFonts w:hint="eastAsia" w:ascii="仿宋_GB2312" w:hAnsi="仿宋" w:eastAsia="仿宋_GB2312" w:cs="Tahoma"/>
          <w:color w:val="auto"/>
          <w:kern w:val="2"/>
          <w:sz w:val="32"/>
          <w:szCs w:val="32"/>
          <w:lang w:val="en-US" w:eastAsia="zh-CN" w:bidi="ar-SA"/>
        </w:rPr>
        <w:t>耕地占用税完成                           441万元；</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0"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color w:val="auto"/>
          <w:kern w:val="2"/>
          <w:sz w:val="32"/>
          <w:szCs w:val="32"/>
          <w:lang w:val="en-US" w:eastAsia="zh-CN" w:bidi="ar-SA"/>
        </w:rPr>
        <w:t>资源税完成                                23万元；</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0"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color w:val="auto"/>
          <w:kern w:val="2"/>
          <w:sz w:val="32"/>
          <w:szCs w:val="32"/>
          <w:lang w:val="en-US" w:eastAsia="zh-CN" w:bidi="ar-SA"/>
        </w:rPr>
        <w:t>城市维护建设税完成                       472万元；</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0"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color w:val="auto"/>
          <w:kern w:val="2"/>
          <w:sz w:val="32"/>
          <w:szCs w:val="32"/>
          <w:lang w:val="en-US" w:eastAsia="zh-CN" w:bidi="ar-SA"/>
        </w:rPr>
        <w:t>房产税完成                               230万元；</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0"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color w:val="auto"/>
          <w:kern w:val="2"/>
          <w:sz w:val="32"/>
          <w:szCs w:val="32"/>
          <w:lang w:val="en-US" w:eastAsia="zh-CN" w:bidi="ar-SA"/>
        </w:rPr>
        <w:t>印花税完成                               127万元；</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0"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color w:val="auto"/>
          <w:kern w:val="2"/>
          <w:sz w:val="32"/>
          <w:szCs w:val="32"/>
          <w:lang w:val="en-US" w:eastAsia="zh-CN" w:bidi="ar-SA"/>
        </w:rPr>
        <w:t>城镇土地使用税完成                        79万元；</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0"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color w:val="auto"/>
          <w:kern w:val="2"/>
          <w:sz w:val="32"/>
          <w:szCs w:val="32"/>
          <w:lang w:val="en-US" w:eastAsia="zh-CN" w:bidi="ar-SA"/>
        </w:rPr>
        <w:t>土地增值税完成                            44万元；</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0"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color w:val="auto"/>
          <w:kern w:val="2"/>
          <w:sz w:val="32"/>
          <w:szCs w:val="32"/>
          <w:lang w:val="en-US" w:eastAsia="zh-CN" w:bidi="ar-SA"/>
        </w:rPr>
        <w:t>车船税完成                               202万元；</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0"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color w:val="auto"/>
          <w:kern w:val="2"/>
          <w:sz w:val="32"/>
          <w:szCs w:val="32"/>
          <w:lang w:val="en-US" w:eastAsia="zh-CN" w:bidi="ar-SA"/>
        </w:rPr>
        <w:t>契税完成                                  13万元；</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0"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color w:val="auto"/>
          <w:kern w:val="2"/>
          <w:sz w:val="32"/>
          <w:szCs w:val="32"/>
          <w:lang w:val="en-US" w:eastAsia="zh-CN" w:bidi="ar-SA"/>
        </w:rPr>
        <w:t>环境保护税完成                             1万元。</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2" w:firstLineChars="200"/>
        <w:jc w:val="both"/>
        <w:textAlignment w:val="auto"/>
        <w:rPr>
          <w:rFonts w:hint="eastAsia" w:ascii="仿宋_GB2312" w:hAnsi="仿宋" w:eastAsia="仿宋_GB2312" w:cs="Tahoma"/>
          <w:b/>
          <w:bCs/>
          <w:color w:val="auto"/>
          <w:kern w:val="2"/>
          <w:sz w:val="32"/>
          <w:szCs w:val="32"/>
          <w:lang w:val="en-US" w:eastAsia="zh-CN" w:bidi="ar-SA"/>
        </w:rPr>
      </w:pPr>
      <w:r>
        <w:rPr>
          <w:rFonts w:hint="eastAsia" w:ascii="仿宋_GB2312" w:hAnsi="仿宋" w:eastAsia="仿宋_GB2312" w:cs="Tahoma"/>
          <w:b/>
          <w:bCs/>
          <w:color w:val="auto"/>
          <w:kern w:val="2"/>
          <w:sz w:val="32"/>
          <w:szCs w:val="32"/>
          <w:lang w:val="en-US" w:eastAsia="zh-CN" w:bidi="ar-SA"/>
        </w:rPr>
        <w:t>非税收入完成7752万元，其中：</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0"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color w:val="auto"/>
          <w:kern w:val="2"/>
          <w:sz w:val="32"/>
          <w:szCs w:val="32"/>
          <w:lang w:val="en-US" w:eastAsia="zh-CN" w:bidi="ar-SA"/>
        </w:rPr>
        <w:t>专项收入完成                             683万元；</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0"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color w:val="auto"/>
          <w:kern w:val="2"/>
          <w:sz w:val="32"/>
          <w:szCs w:val="32"/>
          <w:lang w:val="en-US" w:eastAsia="zh-CN" w:bidi="ar-SA"/>
        </w:rPr>
        <w:t>行政事业性收费收入完成                  3574万元；</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0"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color w:val="auto"/>
          <w:kern w:val="2"/>
          <w:sz w:val="32"/>
          <w:szCs w:val="32"/>
          <w:lang w:val="en-US" w:eastAsia="zh-CN" w:bidi="ar-SA"/>
        </w:rPr>
        <w:t>罚没收入完成                            1370万元；</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0"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color w:val="auto"/>
          <w:kern w:val="2"/>
          <w:sz w:val="32"/>
          <w:szCs w:val="32"/>
          <w:lang w:val="en-US" w:eastAsia="zh-CN" w:bidi="ar-SA"/>
        </w:rPr>
        <w:t>国有资源（资产）有偿使用收入完成        2110万元；</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0"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color w:val="auto"/>
          <w:kern w:val="2"/>
          <w:sz w:val="32"/>
          <w:szCs w:val="32"/>
          <w:lang w:val="en-US" w:eastAsia="zh-CN" w:bidi="ar-SA"/>
        </w:rPr>
        <w:t>政府住房基金收入完成                      15万元；</w:t>
      </w:r>
    </w:p>
    <w:p>
      <w:pPr>
        <w:keepNext w:val="0"/>
        <w:keepLines w:val="0"/>
        <w:pageBreakBefore w:val="0"/>
        <w:kinsoku/>
        <w:wordWrap/>
        <w:overflowPunct/>
        <w:autoSpaceDE/>
        <w:autoSpaceDN/>
        <w:bidi w:val="0"/>
        <w:spacing w:line="600" w:lineRule="exact"/>
        <w:ind w:firstLine="642" w:firstLineChars="200"/>
        <w:textAlignment w:val="auto"/>
        <w:rPr>
          <w:rFonts w:hint="eastAsia" w:ascii="仿宋_GB2312" w:hAnsi="仿宋" w:eastAsia="仿宋_GB2312" w:cs="Tahoma"/>
          <w:b/>
          <w:bCs/>
          <w:color w:val="auto"/>
          <w:kern w:val="2"/>
          <w:sz w:val="32"/>
          <w:szCs w:val="32"/>
          <w:lang w:val="en-US" w:eastAsia="zh-CN" w:bidi="ar-SA"/>
        </w:rPr>
      </w:pPr>
      <w:r>
        <w:rPr>
          <w:rFonts w:hint="eastAsia" w:ascii="仿宋_GB2312" w:hAnsi="仿宋" w:eastAsia="仿宋_GB2312" w:cs="Tahoma"/>
          <w:b/>
          <w:bCs/>
          <w:color w:val="auto"/>
          <w:kern w:val="2"/>
          <w:sz w:val="32"/>
          <w:szCs w:val="32"/>
          <w:lang w:val="en-US" w:eastAsia="zh-CN" w:bidi="ar-SA"/>
        </w:rPr>
        <w:t>2.一般公共预算支出情况</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 w:hAnsi="仿宋" w:eastAsia="仿宋" w:cs="仿宋"/>
          <w:color w:val="auto"/>
          <w:kern w:val="2"/>
          <w:sz w:val="32"/>
          <w:szCs w:val="32"/>
          <w:highlight w:val="none"/>
          <w:lang w:val="en-US" w:eastAsia="zh-CN" w:bidi="ar-SA"/>
        </w:rPr>
        <w:t>2025年，我县一般公共预算支出完成381986万元，完成调整一般公共预算支出382312万元的99.9%，比上年同期增支19748万元，同比增长5.45%。其中：民生支出312119万元，占比达81.71%。</w:t>
      </w:r>
      <w:r>
        <w:rPr>
          <w:rFonts w:hint="eastAsia" w:ascii="仿宋_GB2312" w:hAnsi="仿宋" w:eastAsia="仿宋_GB2312" w:cs="Tahoma"/>
          <w:color w:val="auto"/>
          <w:kern w:val="2"/>
          <w:sz w:val="32"/>
          <w:szCs w:val="32"/>
          <w:lang w:val="en-US" w:eastAsia="zh-CN" w:bidi="ar-SA"/>
        </w:rPr>
        <w:t>各项支出分别是：</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0"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color w:val="auto"/>
          <w:kern w:val="2"/>
          <w:sz w:val="32"/>
          <w:szCs w:val="32"/>
          <w:lang w:val="en-US" w:eastAsia="zh-CN" w:bidi="ar-SA"/>
        </w:rPr>
        <w:t>一般公共服务支出                       40793万元；</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0" w:firstLineChars="200"/>
        <w:jc w:val="both"/>
        <w:textAlignment w:val="auto"/>
        <w:rPr>
          <w:rFonts w:hint="default" w:ascii="仿宋_GB2312" w:hAnsi="仿宋" w:eastAsia="仿宋_GB2312" w:cs="Tahoma"/>
          <w:color w:val="auto"/>
          <w:kern w:val="2"/>
          <w:sz w:val="32"/>
          <w:szCs w:val="32"/>
          <w:lang w:val="en-US" w:eastAsia="zh-CN" w:bidi="ar-SA"/>
        </w:rPr>
      </w:pPr>
      <w:r>
        <w:rPr>
          <w:rFonts w:hint="eastAsia" w:ascii="仿宋_GB2312" w:hAnsi="仿宋" w:eastAsia="仿宋_GB2312" w:cs="Tahoma"/>
          <w:color w:val="auto"/>
          <w:kern w:val="2"/>
          <w:sz w:val="32"/>
          <w:szCs w:val="32"/>
          <w:lang w:val="en-US" w:eastAsia="zh-CN" w:bidi="ar-SA"/>
        </w:rPr>
        <w:t>国防支出                                  87万元；</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0"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color w:val="auto"/>
          <w:kern w:val="2"/>
          <w:sz w:val="32"/>
          <w:szCs w:val="32"/>
          <w:lang w:val="en-US" w:eastAsia="zh-CN" w:bidi="ar-SA"/>
        </w:rPr>
        <w:t>公共安全支出                           16426万元；</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0"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color w:val="auto"/>
          <w:kern w:val="2"/>
          <w:sz w:val="32"/>
          <w:szCs w:val="32"/>
          <w:lang w:val="en-US" w:eastAsia="zh-CN" w:bidi="ar-SA"/>
        </w:rPr>
        <w:t>教育支出                               30392万元；</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0"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color w:val="auto"/>
          <w:kern w:val="2"/>
          <w:sz w:val="32"/>
          <w:szCs w:val="32"/>
          <w:lang w:val="en-US" w:eastAsia="zh-CN" w:bidi="ar-SA"/>
        </w:rPr>
        <w:t>科学技术支出                             161万元；</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0"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color w:val="auto"/>
          <w:kern w:val="2"/>
          <w:sz w:val="32"/>
          <w:szCs w:val="32"/>
          <w:lang w:val="en-US" w:eastAsia="zh-CN" w:bidi="ar-SA"/>
        </w:rPr>
        <w:t>文化旅游体育与传媒支出                  7673万元；</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0"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color w:val="auto"/>
          <w:kern w:val="2"/>
          <w:sz w:val="32"/>
          <w:szCs w:val="32"/>
          <w:lang w:val="en-US" w:eastAsia="zh-CN" w:bidi="ar-SA"/>
        </w:rPr>
        <w:t>社会保障和就业支出                     75261万元；</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0"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color w:val="auto"/>
          <w:kern w:val="2"/>
          <w:sz w:val="32"/>
          <w:szCs w:val="32"/>
          <w:lang w:val="en-US" w:eastAsia="zh-CN" w:bidi="ar-SA"/>
        </w:rPr>
        <w:t>卫生健康支出                           19134万元；</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0"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color w:val="auto"/>
          <w:kern w:val="2"/>
          <w:sz w:val="32"/>
          <w:szCs w:val="32"/>
          <w:lang w:val="en-US" w:eastAsia="zh-CN" w:bidi="ar-SA"/>
        </w:rPr>
        <w:t>节能环保支出                           13028万元；</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0"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color w:val="auto"/>
          <w:kern w:val="2"/>
          <w:sz w:val="32"/>
          <w:szCs w:val="32"/>
          <w:lang w:val="en-US" w:eastAsia="zh-CN" w:bidi="ar-SA"/>
        </w:rPr>
        <w:t>城乡社区支出                           19669万元；</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0"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color w:val="auto"/>
          <w:kern w:val="2"/>
          <w:sz w:val="32"/>
          <w:szCs w:val="32"/>
          <w:lang w:val="en-US" w:eastAsia="zh-CN" w:bidi="ar-SA"/>
        </w:rPr>
        <w:t>农林水事务支出                        106737万元；</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0"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color w:val="auto"/>
          <w:kern w:val="2"/>
          <w:sz w:val="32"/>
          <w:szCs w:val="32"/>
          <w:lang w:val="en-US" w:eastAsia="zh-CN" w:bidi="ar-SA"/>
        </w:rPr>
        <w:t>交通运输支出                           18662万元；</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0"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color w:val="auto"/>
          <w:kern w:val="2"/>
          <w:sz w:val="32"/>
          <w:szCs w:val="32"/>
          <w:lang w:val="en-US" w:eastAsia="zh-CN" w:bidi="ar-SA"/>
        </w:rPr>
        <w:t>资源勘探信息等支出                      1045万元；</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0"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color w:val="auto"/>
          <w:kern w:val="2"/>
          <w:sz w:val="32"/>
          <w:szCs w:val="32"/>
          <w:lang w:val="en-US" w:eastAsia="zh-CN" w:bidi="ar-SA"/>
        </w:rPr>
        <w:t>商业服务业等支出                        1057万元；</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0"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color w:val="auto"/>
          <w:kern w:val="2"/>
          <w:sz w:val="32"/>
          <w:szCs w:val="32"/>
          <w:lang w:val="en-US" w:eastAsia="zh-CN" w:bidi="ar-SA"/>
        </w:rPr>
        <w:t>自然资源海洋气象等支出                  9076万元；</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0"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color w:val="auto"/>
          <w:kern w:val="2"/>
          <w:sz w:val="32"/>
          <w:szCs w:val="32"/>
          <w:lang w:val="en-US" w:eastAsia="zh-CN" w:bidi="ar-SA"/>
        </w:rPr>
        <w:t>住房保障支出                            9257万元；</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0"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color w:val="auto"/>
          <w:kern w:val="2"/>
          <w:sz w:val="32"/>
          <w:szCs w:val="32"/>
          <w:lang w:val="en-US" w:eastAsia="zh-CN" w:bidi="ar-SA"/>
        </w:rPr>
        <w:t>粮油物资储备支出                         639万元；</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0"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color w:val="auto"/>
          <w:kern w:val="2"/>
          <w:sz w:val="32"/>
          <w:szCs w:val="32"/>
          <w:lang w:val="en-US" w:eastAsia="zh-CN" w:bidi="ar-SA"/>
        </w:rPr>
        <w:t>灾害防治及应急管理支出                 10095万元；</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0"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color w:val="auto"/>
          <w:kern w:val="2"/>
          <w:sz w:val="32"/>
          <w:szCs w:val="32"/>
          <w:lang w:val="en-US" w:eastAsia="zh-CN" w:bidi="ar-SA"/>
        </w:rPr>
        <w:t>金融支出                                  69万元；</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0"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color w:val="auto"/>
          <w:kern w:val="2"/>
          <w:sz w:val="32"/>
          <w:szCs w:val="32"/>
          <w:lang w:val="en-US" w:eastAsia="zh-CN" w:bidi="ar-SA"/>
        </w:rPr>
        <w:t>债务发行费用支出                          25万元；</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0"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color w:val="auto"/>
          <w:kern w:val="2"/>
          <w:sz w:val="32"/>
          <w:szCs w:val="32"/>
          <w:lang w:val="en-US" w:eastAsia="zh-CN" w:bidi="ar-SA"/>
        </w:rPr>
        <w:t>债务付息支出                            2062万元；</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0"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color w:val="auto"/>
          <w:kern w:val="2"/>
          <w:sz w:val="32"/>
          <w:szCs w:val="32"/>
          <w:lang w:val="en-US" w:eastAsia="zh-CN" w:bidi="ar-SA"/>
        </w:rPr>
        <w:t>其他支出                                 638万元。</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0" w:firstLineChars="200"/>
        <w:jc w:val="both"/>
        <w:textAlignment w:val="auto"/>
        <w:rPr>
          <w:rFonts w:hint="default" w:ascii="仿宋_GB2312" w:hAnsi="仿宋" w:eastAsia="仿宋_GB2312" w:cs="Tahoma"/>
          <w:color w:val="auto"/>
          <w:kern w:val="2"/>
          <w:sz w:val="32"/>
          <w:szCs w:val="32"/>
          <w:lang w:val="en-US" w:eastAsia="zh-CN" w:bidi="ar-SA"/>
        </w:rPr>
      </w:pPr>
      <w:r>
        <w:rPr>
          <w:rFonts w:hint="eastAsia" w:ascii="仿宋_GB2312" w:hAnsi="仿宋" w:eastAsia="仿宋_GB2312" w:cs="Tahoma"/>
          <w:color w:val="auto"/>
          <w:kern w:val="2"/>
          <w:sz w:val="32"/>
          <w:szCs w:val="32"/>
          <w:lang w:val="en-US" w:eastAsia="zh-CN" w:bidi="ar-SA"/>
        </w:rPr>
        <w:t>上解支出2750万元，债务还本支出4216万元，安排预算稳定调节基金20185万元，调出资金3541万元，年终结余3500万元，支出总计416178万元。</w:t>
      </w:r>
    </w:p>
    <w:p>
      <w:pPr>
        <w:keepNext w:val="0"/>
        <w:keepLines w:val="0"/>
        <w:pageBreakBefore w:val="0"/>
        <w:widowControl/>
        <w:kinsoku/>
        <w:wordWrap/>
        <w:overflowPunct/>
        <w:topLinePunct w:val="0"/>
        <w:autoSpaceDE/>
        <w:autoSpaceDN/>
        <w:bidi w:val="0"/>
        <w:adjustRightInd w:val="0"/>
        <w:snapToGrid w:val="0"/>
        <w:spacing w:line="600" w:lineRule="exact"/>
        <w:ind w:firstLine="642" w:firstLineChars="200"/>
        <w:jc w:val="both"/>
        <w:textAlignment w:val="auto"/>
        <w:rPr>
          <w:rFonts w:hint="eastAsia" w:ascii="楷体_GB2312" w:hAnsi="楷体_GB2312" w:eastAsia="楷体_GB2312" w:cs="楷体_GB2312"/>
          <w:b/>
          <w:bCs/>
          <w:color w:val="auto"/>
          <w:w w:val="100"/>
          <w:kern w:val="0"/>
          <w:sz w:val="32"/>
          <w:szCs w:val="32"/>
          <w:shd w:val="clear"/>
          <w:lang w:val="en-US" w:eastAsia="zh-CN"/>
        </w:rPr>
      </w:pPr>
      <w:r>
        <w:rPr>
          <w:rFonts w:hint="eastAsia" w:ascii="楷体_GB2312" w:hAnsi="楷体_GB2312" w:eastAsia="楷体_GB2312" w:cs="楷体_GB2312"/>
          <w:b/>
          <w:bCs/>
          <w:color w:val="auto"/>
          <w:w w:val="100"/>
          <w:kern w:val="0"/>
          <w:sz w:val="32"/>
          <w:szCs w:val="32"/>
          <w:shd w:val="clear"/>
          <w:lang w:val="en-US" w:eastAsia="zh-CN"/>
        </w:rPr>
        <w:t>（二）政府性基金预算执行情况</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2" w:firstLineChars="200"/>
        <w:jc w:val="both"/>
        <w:textAlignment w:val="auto"/>
        <w:rPr>
          <w:rFonts w:hint="eastAsia" w:ascii="仿宋_GB2312" w:hAnsi="仿宋" w:eastAsia="仿宋_GB2312" w:cs="Tahoma"/>
          <w:b/>
          <w:bCs/>
          <w:color w:val="auto"/>
          <w:kern w:val="2"/>
          <w:sz w:val="32"/>
          <w:szCs w:val="32"/>
          <w:lang w:val="en-US" w:eastAsia="zh-CN" w:bidi="ar-SA"/>
        </w:rPr>
      </w:pPr>
      <w:r>
        <w:rPr>
          <w:rFonts w:hint="eastAsia" w:ascii="仿宋_GB2312" w:hAnsi="仿宋" w:eastAsia="仿宋_GB2312" w:cs="Tahoma"/>
          <w:b/>
          <w:bCs/>
          <w:color w:val="auto"/>
          <w:kern w:val="2"/>
          <w:sz w:val="32"/>
          <w:szCs w:val="32"/>
          <w:lang w:val="en-US" w:eastAsia="zh-CN" w:bidi="ar-SA"/>
        </w:rPr>
        <w:t>1.政府性基金预算收入执行情况</w:t>
      </w:r>
    </w:p>
    <w:p>
      <w:pPr>
        <w:keepNext w:val="0"/>
        <w:keepLines w:val="0"/>
        <w:pageBreakBefore w:val="0"/>
        <w:kinsoku/>
        <w:wordWrap/>
        <w:overflowPunct/>
        <w:topLinePunct/>
        <w:autoSpaceDE/>
        <w:autoSpaceDN/>
        <w:bidi w:val="0"/>
        <w:adjustRightInd w:val="0"/>
        <w:spacing w:line="600" w:lineRule="exact"/>
        <w:ind w:left="0" w:leftChars="0" w:firstLine="640" w:firstLineChars="200"/>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color w:val="auto"/>
          <w:kern w:val="2"/>
          <w:sz w:val="32"/>
          <w:szCs w:val="32"/>
          <w:lang w:val="en-US" w:eastAsia="zh-CN" w:bidi="ar-SA"/>
        </w:rPr>
        <w:t>2025年政府性基金本级预算收入完成98万元，其中：国有土地使用权出让收入完成68万元，城市基础设施配套费收入完成30万元。</w:t>
      </w:r>
    </w:p>
    <w:p>
      <w:pPr>
        <w:keepNext w:val="0"/>
        <w:keepLines w:val="0"/>
        <w:pageBreakBefore w:val="0"/>
        <w:kinsoku/>
        <w:wordWrap/>
        <w:overflowPunct/>
        <w:topLinePunct/>
        <w:autoSpaceDE/>
        <w:autoSpaceDN/>
        <w:bidi w:val="0"/>
        <w:adjustRightInd w:val="0"/>
        <w:spacing w:line="600" w:lineRule="exact"/>
        <w:ind w:left="0" w:leftChars="0" w:firstLine="640" w:firstLineChars="200"/>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color w:val="auto"/>
          <w:kern w:val="2"/>
          <w:sz w:val="32"/>
          <w:szCs w:val="32"/>
          <w:lang w:val="en-US" w:eastAsia="zh-CN" w:bidi="ar-SA"/>
        </w:rPr>
        <w:t>2025年政府性基金预算转移性收入38196万元，其中：地方政府专项债务转贷收入32700万元，政府性基金转移支付收入1182万元，超长期特别国债转移支付收入773万元，调入资金3541万元；政府性基金预算上年结余收入10140万元。2025年政府性基金收入总计48434万元。</w:t>
      </w:r>
    </w:p>
    <w:p>
      <w:pPr>
        <w:keepNext w:val="0"/>
        <w:keepLines w:val="0"/>
        <w:pageBreakBefore w:val="0"/>
        <w:kinsoku/>
        <w:wordWrap/>
        <w:overflowPunct/>
        <w:topLinePunct/>
        <w:autoSpaceDE/>
        <w:autoSpaceDN/>
        <w:bidi w:val="0"/>
        <w:adjustRightInd w:val="0"/>
        <w:spacing w:line="600" w:lineRule="exact"/>
        <w:ind w:left="0" w:leftChars="0" w:firstLine="642" w:firstLineChars="200"/>
        <w:textAlignment w:val="auto"/>
        <w:rPr>
          <w:rFonts w:hint="eastAsia" w:ascii="仿宋_GB2312" w:hAnsi="仿宋" w:eastAsia="仿宋_GB2312" w:cs="Tahoma"/>
          <w:b/>
          <w:bCs/>
          <w:color w:val="auto"/>
          <w:kern w:val="2"/>
          <w:sz w:val="32"/>
          <w:szCs w:val="32"/>
          <w:lang w:val="en-US" w:eastAsia="zh-CN" w:bidi="ar-SA"/>
        </w:rPr>
      </w:pPr>
      <w:r>
        <w:rPr>
          <w:rFonts w:hint="eastAsia" w:ascii="仿宋_GB2312" w:hAnsi="仿宋" w:eastAsia="仿宋_GB2312" w:cs="Tahoma"/>
          <w:b/>
          <w:bCs/>
          <w:color w:val="auto"/>
          <w:kern w:val="2"/>
          <w:sz w:val="32"/>
          <w:szCs w:val="32"/>
          <w:lang w:val="en-US" w:eastAsia="zh-CN" w:bidi="ar-SA"/>
        </w:rPr>
        <w:t>2.政府性基金预算支出执行情况</w:t>
      </w:r>
    </w:p>
    <w:p>
      <w:pPr>
        <w:keepNext w:val="0"/>
        <w:keepLines w:val="0"/>
        <w:pageBreakBefore w:val="0"/>
        <w:kinsoku/>
        <w:wordWrap/>
        <w:overflowPunct/>
        <w:topLinePunct/>
        <w:autoSpaceDE/>
        <w:autoSpaceDN/>
        <w:bidi w:val="0"/>
        <w:adjustRightInd w:val="0"/>
        <w:spacing w:line="600" w:lineRule="exact"/>
        <w:ind w:left="0" w:leftChars="0" w:firstLine="640" w:firstLineChars="200"/>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color w:val="auto"/>
          <w:kern w:val="2"/>
          <w:sz w:val="32"/>
          <w:szCs w:val="32"/>
          <w:lang w:val="en-US" w:eastAsia="zh-CN" w:bidi="ar-SA"/>
        </w:rPr>
        <w:t>2025年政府性基金支出36121万元。节能环保支出中超长期特别国债安排的支出800万元，城乡社区支出中国有土地使用权出让收入安排的支出2004万元，土地储备专项债券收入安排的支出3832万元，超长期特别国债安排的支出3000万元，其他政府性基金及对应专项债务收入安排的支出20254万元,彩票公益金安排的支出1280万元；债务付息支出4920万元, 债务发行费用支出31万元。</w:t>
      </w:r>
    </w:p>
    <w:p>
      <w:pPr>
        <w:keepNext w:val="0"/>
        <w:keepLines w:val="0"/>
        <w:pageBreakBefore w:val="0"/>
        <w:kinsoku/>
        <w:wordWrap/>
        <w:overflowPunct/>
        <w:topLinePunct/>
        <w:autoSpaceDE/>
        <w:autoSpaceDN/>
        <w:bidi w:val="0"/>
        <w:adjustRightInd w:val="0"/>
        <w:spacing w:line="600" w:lineRule="exact"/>
        <w:ind w:left="0" w:leftChars="0" w:firstLine="640" w:firstLineChars="200"/>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color w:val="auto"/>
          <w:kern w:val="2"/>
          <w:sz w:val="32"/>
          <w:szCs w:val="32"/>
          <w:lang w:val="en-US" w:eastAsia="zh-CN" w:bidi="ar-SA"/>
        </w:rPr>
        <w:t>年终结余9313万元。</w:t>
      </w:r>
    </w:p>
    <w:p>
      <w:pPr>
        <w:keepNext w:val="0"/>
        <w:keepLines w:val="0"/>
        <w:pageBreakBefore w:val="0"/>
        <w:kinsoku/>
        <w:wordWrap/>
        <w:overflowPunct/>
        <w:topLinePunct/>
        <w:autoSpaceDE/>
        <w:autoSpaceDN/>
        <w:bidi w:val="0"/>
        <w:adjustRightInd w:val="0"/>
        <w:spacing w:line="600" w:lineRule="exact"/>
        <w:ind w:left="0" w:leftChars="0" w:firstLine="640" w:firstLineChars="200"/>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color w:val="auto"/>
          <w:kern w:val="2"/>
          <w:sz w:val="32"/>
          <w:szCs w:val="32"/>
          <w:lang w:val="en-US" w:eastAsia="zh-CN" w:bidi="ar-SA"/>
        </w:rPr>
        <w:t>专项债务还本支出3000万元。</w:t>
      </w:r>
    </w:p>
    <w:p>
      <w:pPr>
        <w:keepNext w:val="0"/>
        <w:keepLines w:val="0"/>
        <w:pageBreakBefore w:val="0"/>
        <w:kinsoku/>
        <w:wordWrap/>
        <w:overflowPunct/>
        <w:topLinePunct/>
        <w:autoSpaceDE/>
        <w:autoSpaceDN/>
        <w:bidi w:val="0"/>
        <w:adjustRightInd w:val="0"/>
        <w:spacing w:line="600" w:lineRule="exact"/>
        <w:ind w:left="0" w:leftChars="0" w:firstLine="640" w:firstLineChars="200"/>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color w:val="auto"/>
          <w:kern w:val="2"/>
          <w:sz w:val="32"/>
          <w:szCs w:val="32"/>
          <w:lang w:val="en-US" w:eastAsia="zh-CN" w:bidi="ar-SA"/>
        </w:rPr>
        <w:t>2025年政府性基金支出总计48434万元。</w:t>
      </w:r>
    </w:p>
    <w:p>
      <w:pPr>
        <w:keepNext w:val="0"/>
        <w:keepLines w:val="0"/>
        <w:pageBreakBefore w:val="0"/>
        <w:widowControl/>
        <w:kinsoku/>
        <w:wordWrap/>
        <w:overflowPunct/>
        <w:topLinePunct w:val="0"/>
        <w:autoSpaceDE/>
        <w:autoSpaceDN/>
        <w:bidi w:val="0"/>
        <w:adjustRightInd w:val="0"/>
        <w:snapToGrid w:val="0"/>
        <w:spacing w:line="600" w:lineRule="exact"/>
        <w:ind w:firstLine="642" w:firstLineChars="200"/>
        <w:jc w:val="both"/>
        <w:textAlignment w:val="auto"/>
        <w:rPr>
          <w:rFonts w:hint="default" w:ascii="楷体_GB2312" w:hAnsi="楷体_GB2312" w:eastAsia="楷体_GB2312" w:cs="楷体_GB2312"/>
          <w:b/>
          <w:bCs/>
          <w:color w:val="auto"/>
          <w:w w:val="100"/>
          <w:kern w:val="0"/>
          <w:sz w:val="32"/>
          <w:szCs w:val="32"/>
          <w:shd w:val="clear"/>
          <w:lang w:val="en-US" w:eastAsia="zh-CN"/>
        </w:rPr>
      </w:pPr>
      <w:r>
        <w:rPr>
          <w:rFonts w:hint="eastAsia" w:ascii="楷体_GB2312" w:hAnsi="楷体_GB2312" w:eastAsia="楷体_GB2312" w:cs="楷体_GB2312"/>
          <w:b/>
          <w:bCs/>
          <w:color w:val="auto"/>
          <w:w w:val="100"/>
          <w:kern w:val="0"/>
          <w:sz w:val="32"/>
          <w:szCs w:val="32"/>
          <w:shd w:val="clear"/>
          <w:lang w:val="en-US" w:eastAsia="zh-CN"/>
        </w:rPr>
        <w:t>（三）国有资本经营预算执行情况</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0"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color w:val="auto"/>
          <w:kern w:val="2"/>
          <w:sz w:val="32"/>
          <w:szCs w:val="32"/>
          <w:lang w:val="en-US" w:eastAsia="zh-CN" w:bidi="ar-SA"/>
        </w:rPr>
        <w:t>国有资本经营预算上年结余收入32万元，国有资本经营预算转移支付收入7万元，2025年国有资本经营预算收入总计39万元。</w:t>
      </w:r>
    </w:p>
    <w:p>
      <w:pPr>
        <w:keepNext w:val="0"/>
        <w:keepLines w:val="0"/>
        <w:pageBreakBefore w:val="0"/>
        <w:widowControl/>
        <w:kinsoku/>
        <w:wordWrap/>
        <w:overflowPunct/>
        <w:topLinePunct w:val="0"/>
        <w:autoSpaceDE/>
        <w:autoSpaceDN/>
        <w:bidi w:val="0"/>
        <w:adjustRightInd w:val="0"/>
        <w:snapToGrid w:val="0"/>
        <w:spacing w:line="600" w:lineRule="exact"/>
        <w:ind w:firstLine="642" w:firstLineChars="200"/>
        <w:jc w:val="both"/>
        <w:textAlignment w:val="auto"/>
        <w:rPr>
          <w:rFonts w:hint="eastAsia" w:ascii="楷体_GB2312" w:hAnsi="楷体_GB2312" w:eastAsia="楷体_GB2312" w:cs="楷体_GB2312"/>
          <w:b/>
          <w:bCs/>
          <w:color w:val="auto"/>
          <w:w w:val="100"/>
          <w:kern w:val="0"/>
          <w:sz w:val="32"/>
          <w:szCs w:val="32"/>
          <w:shd w:val="clear"/>
          <w:lang w:val="en-US" w:eastAsia="zh-CN"/>
        </w:rPr>
      </w:pPr>
      <w:r>
        <w:rPr>
          <w:rFonts w:hint="eastAsia" w:ascii="楷体_GB2312" w:hAnsi="楷体_GB2312" w:eastAsia="楷体_GB2312" w:cs="楷体_GB2312"/>
          <w:b/>
          <w:bCs/>
          <w:color w:val="auto"/>
          <w:w w:val="100"/>
          <w:kern w:val="0"/>
          <w:sz w:val="32"/>
          <w:szCs w:val="32"/>
          <w:shd w:val="clear"/>
          <w:lang w:val="en-US" w:eastAsia="zh-CN"/>
        </w:rPr>
        <w:t>（四）社会保险基金预算执行情况</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2" w:firstLineChars="200"/>
        <w:jc w:val="both"/>
        <w:textAlignment w:val="auto"/>
        <w:rPr>
          <w:rFonts w:hint="eastAsia" w:ascii="仿宋_GB2312" w:hAnsi="仿宋" w:eastAsia="仿宋_GB2312" w:cs="Tahoma"/>
          <w:b/>
          <w:bCs/>
          <w:color w:val="auto"/>
          <w:kern w:val="2"/>
          <w:sz w:val="32"/>
          <w:szCs w:val="32"/>
          <w:lang w:val="en-US" w:eastAsia="zh-CN" w:bidi="ar-SA"/>
        </w:rPr>
      </w:pPr>
      <w:r>
        <w:rPr>
          <w:rFonts w:hint="eastAsia" w:ascii="仿宋_GB2312" w:hAnsi="仿宋" w:eastAsia="仿宋_GB2312" w:cs="Tahoma"/>
          <w:b/>
          <w:bCs/>
          <w:color w:val="auto"/>
          <w:kern w:val="2"/>
          <w:sz w:val="32"/>
          <w:szCs w:val="32"/>
          <w:lang w:val="en-US" w:eastAsia="zh-CN" w:bidi="ar-SA"/>
        </w:rPr>
        <w:t>1.社会保险基金预算收入执行情况</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0"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color w:val="auto"/>
          <w:kern w:val="2"/>
          <w:sz w:val="32"/>
          <w:szCs w:val="32"/>
          <w:lang w:val="en-US" w:eastAsia="zh-CN" w:bidi="ar-SA"/>
        </w:rPr>
        <w:t>2025年社会保险基金预算收入42524万元，其中：城乡居民基本养老保险基金预算收入16439万元；机关事业单位基本养老保险基金预算收入26085万元。社会保险基金预算上年结余收入30006万元，2025年社会保险基金收入总计72530万元。</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2" w:firstLineChars="200"/>
        <w:jc w:val="both"/>
        <w:textAlignment w:val="auto"/>
        <w:rPr>
          <w:rFonts w:hint="eastAsia" w:ascii="仿宋_GB2312" w:hAnsi="仿宋" w:eastAsia="仿宋_GB2312" w:cs="Tahoma"/>
          <w:b/>
          <w:bCs/>
          <w:color w:val="auto"/>
          <w:kern w:val="2"/>
          <w:sz w:val="32"/>
          <w:szCs w:val="32"/>
          <w:lang w:val="en-US" w:eastAsia="zh-CN" w:bidi="ar-SA"/>
        </w:rPr>
      </w:pPr>
      <w:r>
        <w:rPr>
          <w:rFonts w:hint="eastAsia" w:ascii="仿宋_GB2312" w:hAnsi="仿宋" w:eastAsia="仿宋_GB2312" w:cs="Tahoma"/>
          <w:b/>
          <w:bCs/>
          <w:color w:val="auto"/>
          <w:kern w:val="2"/>
          <w:sz w:val="32"/>
          <w:szCs w:val="32"/>
          <w:lang w:val="en-US" w:eastAsia="zh-CN" w:bidi="ar-SA"/>
        </w:rPr>
        <w:t>2.社会保险基金预算支出执行情况</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0"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color w:val="auto"/>
          <w:kern w:val="2"/>
          <w:sz w:val="32"/>
          <w:szCs w:val="32"/>
          <w:lang w:val="en-US" w:eastAsia="zh-CN" w:bidi="ar-SA"/>
        </w:rPr>
        <w:t>2025年社会保险基金预算支出37991万元，其中：城乡居民基本养老保险基金支出12076万元，机关事业单位基本养老保险基金支出25915万元，年终结余34539万元，2025年社会保险基金支出总计72530万元。</w:t>
      </w:r>
    </w:p>
    <w:p>
      <w:pPr>
        <w:keepNext w:val="0"/>
        <w:keepLines w:val="0"/>
        <w:pageBreakBefore w:val="0"/>
        <w:widowControl/>
        <w:kinsoku/>
        <w:wordWrap/>
        <w:overflowPunct/>
        <w:topLinePunct w:val="0"/>
        <w:autoSpaceDE/>
        <w:autoSpaceDN/>
        <w:bidi w:val="0"/>
        <w:adjustRightInd w:val="0"/>
        <w:snapToGrid w:val="0"/>
        <w:spacing w:line="600" w:lineRule="exact"/>
        <w:ind w:firstLine="642" w:firstLineChars="200"/>
        <w:jc w:val="both"/>
        <w:textAlignment w:val="auto"/>
        <w:rPr>
          <w:rFonts w:hint="eastAsia" w:ascii="楷体_GB2312" w:hAnsi="楷体_GB2312" w:eastAsia="楷体_GB2312" w:cs="楷体_GB2312"/>
          <w:b/>
          <w:bCs/>
          <w:color w:val="auto"/>
          <w:w w:val="100"/>
          <w:kern w:val="0"/>
          <w:sz w:val="32"/>
          <w:szCs w:val="32"/>
          <w:shd w:val="clear"/>
          <w:lang w:val="en-US" w:eastAsia="zh-CN"/>
        </w:rPr>
      </w:pPr>
      <w:r>
        <w:rPr>
          <w:rFonts w:hint="eastAsia" w:ascii="楷体_GB2312" w:hAnsi="楷体_GB2312" w:eastAsia="楷体_GB2312" w:cs="楷体_GB2312"/>
          <w:b/>
          <w:bCs/>
          <w:color w:val="auto"/>
          <w:w w:val="100"/>
          <w:kern w:val="0"/>
          <w:sz w:val="32"/>
          <w:szCs w:val="32"/>
          <w:shd w:val="clear"/>
          <w:lang w:val="en-US" w:eastAsia="zh-CN"/>
        </w:rPr>
        <w:t>（五）2025年“三公”经费执行情况</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0"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color w:val="auto"/>
          <w:kern w:val="2"/>
          <w:sz w:val="32"/>
          <w:szCs w:val="32"/>
          <w:lang w:val="en-US" w:eastAsia="zh-CN" w:bidi="ar-SA"/>
        </w:rPr>
        <w:t>2025年全县“三公”经费预算支出367.06万元，较上年减少90.66万元。其中：公务用车购置及运行维护费235.71万元，较上年减少4.01万元；预算公务接待费131.35万元，较上年减少86.65万元。</w:t>
      </w:r>
    </w:p>
    <w:p>
      <w:pPr>
        <w:keepNext w:val="0"/>
        <w:keepLines w:val="0"/>
        <w:pageBreakBefore w:val="0"/>
        <w:kinsoku/>
        <w:wordWrap/>
        <w:overflowPunct/>
        <w:topLinePunct/>
        <w:autoSpaceDE/>
        <w:autoSpaceDN/>
        <w:bidi w:val="0"/>
        <w:adjustRightInd w:val="0"/>
        <w:spacing w:line="600" w:lineRule="exact"/>
        <w:ind w:left="0" w:leftChars="0" w:firstLine="642" w:firstLineChars="200"/>
        <w:textAlignment w:val="auto"/>
        <w:rPr>
          <w:rFonts w:hint="eastAsia" w:ascii="方正仿宋_GB2312" w:hAnsi="方正仿宋_GB2312" w:eastAsia="方正仿宋_GB2312" w:cs="方正仿宋_GB2312"/>
          <w:b/>
          <w:color w:val="auto"/>
          <w:sz w:val="32"/>
          <w:szCs w:val="32"/>
          <w:lang w:val="en-US" w:eastAsia="zh-CN"/>
        </w:rPr>
      </w:pPr>
      <w:r>
        <w:rPr>
          <w:rFonts w:hint="eastAsia" w:ascii="楷体_GB2312" w:hAnsi="楷体_GB2312" w:eastAsia="楷体_GB2312" w:cs="楷体_GB2312"/>
          <w:b/>
          <w:bCs/>
          <w:color w:val="auto"/>
          <w:w w:val="100"/>
          <w:kern w:val="0"/>
          <w:sz w:val="32"/>
          <w:szCs w:val="32"/>
          <w:shd w:val="clear"/>
          <w:lang w:val="en-US" w:eastAsia="zh-CN"/>
        </w:rPr>
        <w:t>（六）2025年“三保”支出预算执行情况</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0"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color w:val="auto"/>
          <w:kern w:val="2"/>
          <w:sz w:val="32"/>
          <w:szCs w:val="32"/>
          <w:lang w:val="en-US" w:eastAsia="zh-CN" w:bidi="ar-SA"/>
        </w:rPr>
        <w:t>2025年“三保”总支出159447万元，其中“保基本民生”支出58314万元，“保工资”支出93163万元，“保运转”支出7970万元。</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0"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color w:val="auto"/>
          <w:kern w:val="2"/>
          <w:sz w:val="32"/>
          <w:szCs w:val="32"/>
          <w:lang w:val="en-US" w:eastAsia="zh-CN" w:bidi="ar-SA"/>
        </w:rPr>
        <w:t>目前，全县财政收支正在核实清理中，中省市补助结算对账正在进行，收支平衡及结余结转等最终数据会有一些变化，待决算汇审编出后，再向县人大常委会报告。</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2" w:firstLineChars="200"/>
        <w:jc w:val="both"/>
        <w:textAlignment w:val="auto"/>
        <w:rPr>
          <w:rFonts w:hint="default" w:ascii="楷体_GB2312" w:hAnsi="楷体_GB2312" w:eastAsia="楷体_GB2312" w:cs="楷体_GB2312"/>
          <w:b/>
          <w:bCs/>
          <w:color w:val="auto"/>
          <w:w w:val="100"/>
          <w:kern w:val="0"/>
          <w:sz w:val="32"/>
          <w:szCs w:val="32"/>
          <w:shd w:val="clear"/>
          <w:lang w:val="en-US" w:eastAsia="zh-CN"/>
        </w:rPr>
      </w:pPr>
      <w:r>
        <w:rPr>
          <w:rFonts w:hint="eastAsia" w:ascii="楷体_GB2312" w:hAnsi="楷体_GB2312" w:eastAsia="楷体_GB2312" w:cs="楷体_GB2312"/>
          <w:b/>
          <w:bCs/>
          <w:color w:val="auto"/>
          <w:w w:val="100"/>
          <w:kern w:val="0"/>
          <w:sz w:val="32"/>
          <w:szCs w:val="32"/>
          <w:shd w:val="clear"/>
          <w:lang w:val="en-US" w:eastAsia="zh-CN"/>
        </w:rPr>
        <w:t>（七）财政职能工作完成情况</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0" w:firstLineChars="200"/>
        <w:jc w:val="both"/>
        <w:textAlignment w:val="auto"/>
        <w:rPr>
          <w:rFonts w:hint="eastAsia" w:ascii="仿宋_GB2312" w:hAnsi="仿宋" w:eastAsia="仿宋_GB2312" w:cs="Tahoma"/>
          <w:color w:val="auto"/>
          <w:kern w:val="2"/>
          <w:sz w:val="32"/>
          <w:szCs w:val="32"/>
          <w:lang w:val="en-US" w:eastAsia="zh-CN" w:bidi="ar-SA"/>
        </w:rPr>
      </w:pPr>
      <w:r>
        <w:rPr>
          <w:rFonts w:hint="default" w:ascii="仿宋_GB2312" w:hAnsi="仿宋" w:eastAsia="仿宋_GB2312" w:cs="Tahoma"/>
          <w:color w:val="auto"/>
          <w:kern w:val="2"/>
          <w:sz w:val="32"/>
          <w:szCs w:val="32"/>
          <w:lang w:val="en-US" w:eastAsia="zh-CN" w:bidi="ar-SA"/>
        </w:rPr>
        <w:t>202</w:t>
      </w:r>
      <w:r>
        <w:rPr>
          <w:rFonts w:hint="eastAsia" w:ascii="仿宋_GB2312" w:hAnsi="仿宋" w:eastAsia="仿宋_GB2312" w:cs="Tahoma"/>
          <w:color w:val="auto"/>
          <w:kern w:val="2"/>
          <w:sz w:val="32"/>
          <w:szCs w:val="32"/>
          <w:lang w:val="en-US" w:eastAsia="zh-CN" w:bidi="ar-SA"/>
        </w:rPr>
        <w:t>5年，县财政部门坚持以习近平新时代中国特色社会主义思想为指导，坚持稳中求进总基调，全面落实县委各项决策部署充分发挥财政工作职能，大力培植财源、狠抓增收节支，积极推动和完善各项财政改革，不断提高财政管理水平，较好完成了各项工作任务。</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0"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color w:val="auto"/>
          <w:kern w:val="2"/>
          <w:sz w:val="32"/>
          <w:szCs w:val="32"/>
          <w:lang w:val="en-US" w:eastAsia="zh-CN" w:bidi="ar-SA"/>
        </w:rPr>
        <w:t>受经济下行、政策性减收等综合因素影响，财政整体上面临减收压力，财政经济形势依旧严峻。我县一般公共预算收入完成12186万元，完成调整一般公共预算收入12165万元的100.17%，比上年同期增加1121万元，同比增长10.13%。其中税收收入4434万元，非税收入7752万元，税收收入比重占到36.39%，收入质量不高。</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2" w:firstLineChars="200"/>
        <w:jc w:val="both"/>
        <w:textAlignment w:val="auto"/>
        <w:rPr>
          <w:rFonts w:hint="default" w:ascii="仿宋_GB2312" w:hAnsi="仿宋" w:eastAsia="仿宋_GB2312" w:cs="Tahoma"/>
          <w:b/>
          <w:bCs/>
          <w:color w:val="auto"/>
          <w:kern w:val="2"/>
          <w:sz w:val="32"/>
          <w:szCs w:val="32"/>
          <w:lang w:val="en-US" w:eastAsia="zh-CN" w:bidi="ar-SA"/>
        </w:rPr>
      </w:pPr>
      <w:r>
        <w:rPr>
          <w:rFonts w:hint="eastAsia" w:ascii="仿宋_GB2312" w:hAnsi="仿宋" w:eastAsia="仿宋_GB2312" w:cs="Tahoma"/>
          <w:b/>
          <w:bCs/>
          <w:color w:val="auto"/>
          <w:kern w:val="2"/>
          <w:sz w:val="32"/>
          <w:szCs w:val="32"/>
          <w:lang w:val="en-US" w:eastAsia="zh-CN" w:bidi="ar-SA"/>
        </w:rPr>
        <w:t>1.加强收入管理，增强财政保障能力</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2"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b/>
          <w:bCs/>
          <w:color w:val="auto"/>
          <w:kern w:val="2"/>
          <w:sz w:val="32"/>
          <w:szCs w:val="32"/>
          <w:lang w:val="en-US" w:eastAsia="zh-CN" w:bidi="ar-SA"/>
        </w:rPr>
        <w:t>一是</w:t>
      </w:r>
      <w:r>
        <w:rPr>
          <w:rFonts w:hint="eastAsia" w:ascii="仿宋_GB2312" w:hAnsi="仿宋" w:eastAsia="仿宋_GB2312" w:cs="Tahoma"/>
          <w:color w:val="auto"/>
          <w:kern w:val="2"/>
          <w:sz w:val="32"/>
          <w:szCs w:val="32"/>
          <w:lang w:val="en-US" w:eastAsia="zh-CN" w:bidi="ar-SA"/>
        </w:rPr>
        <w:t>加强预算执行分析，围绕全年收入目标，继续加强收入形势分析和研判，充分预测各种影响收入的因素，采取有效措施，提升征管效率，确保收入均衡入库；</w:t>
      </w:r>
      <w:r>
        <w:rPr>
          <w:rFonts w:hint="eastAsia" w:ascii="仿宋_GB2312" w:hAnsi="仿宋" w:eastAsia="仿宋_GB2312" w:cs="Tahoma"/>
          <w:b/>
          <w:bCs/>
          <w:color w:val="auto"/>
          <w:kern w:val="2"/>
          <w:sz w:val="32"/>
          <w:szCs w:val="32"/>
          <w:lang w:val="en-US" w:eastAsia="zh-CN" w:bidi="ar-SA"/>
        </w:rPr>
        <w:t>二是</w:t>
      </w:r>
      <w:r>
        <w:rPr>
          <w:rFonts w:hint="eastAsia" w:ascii="仿宋_GB2312" w:hAnsi="仿宋" w:eastAsia="仿宋_GB2312" w:cs="Tahoma"/>
          <w:color w:val="auto"/>
          <w:kern w:val="2"/>
          <w:sz w:val="32"/>
          <w:szCs w:val="32"/>
          <w:lang w:val="en-US" w:eastAsia="zh-CN" w:bidi="ar-SA"/>
        </w:rPr>
        <w:t>加强非税收入管理，坚持依法征收，认真查找征管薄弱环节，有效改进征管方式方法，充分挖掘增收潜力；</w:t>
      </w:r>
      <w:r>
        <w:rPr>
          <w:rFonts w:hint="eastAsia" w:ascii="仿宋_GB2312" w:hAnsi="仿宋" w:eastAsia="仿宋_GB2312" w:cs="Tahoma"/>
          <w:b/>
          <w:bCs/>
          <w:color w:val="auto"/>
          <w:kern w:val="2"/>
          <w:sz w:val="32"/>
          <w:szCs w:val="32"/>
          <w:lang w:val="en-US" w:eastAsia="zh-CN" w:bidi="ar-SA"/>
        </w:rPr>
        <w:t>三是</w:t>
      </w:r>
      <w:r>
        <w:rPr>
          <w:rFonts w:hint="eastAsia" w:ascii="仿宋_GB2312" w:hAnsi="仿宋" w:eastAsia="仿宋_GB2312" w:cs="Tahoma"/>
          <w:color w:val="auto"/>
          <w:kern w:val="2"/>
          <w:sz w:val="32"/>
          <w:szCs w:val="32"/>
          <w:lang w:val="en-US" w:eastAsia="zh-CN" w:bidi="ar-SA"/>
        </w:rPr>
        <w:t>全面掌握政策动向，积极争取上级财政支持，2025年共争取上级补助资金335410万元，一般债券资金20300万元，专项债券30300万元，再融资债券5350万元；</w:t>
      </w:r>
      <w:r>
        <w:rPr>
          <w:rFonts w:hint="eastAsia" w:ascii="仿宋_GB2312" w:hAnsi="仿宋" w:eastAsia="仿宋_GB2312" w:cs="Tahoma"/>
          <w:b/>
          <w:bCs/>
          <w:color w:val="auto"/>
          <w:kern w:val="2"/>
          <w:sz w:val="32"/>
          <w:szCs w:val="32"/>
          <w:lang w:val="en-US" w:eastAsia="zh-CN" w:bidi="ar-SA"/>
        </w:rPr>
        <w:t>四是</w:t>
      </w:r>
      <w:r>
        <w:rPr>
          <w:rFonts w:hint="eastAsia" w:ascii="仿宋_GB2312" w:hAnsi="仿宋" w:eastAsia="仿宋_GB2312" w:cs="Tahoma"/>
          <w:color w:val="auto"/>
          <w:kern w:val="2"/>
          <w:sz w:val="32"/>
          <w:szCs w:val="32"/>
          <w:lang w:val="en-US" w:eastAsia="zh-CN" w:bidi="ar-SA"/>
        </w:rPr>
        <w:t>积极盘活存量资金，对全县各个单位历年结余往来资金进行了全面收缴，共计收缴入库537万元，对财政性资金安排部门和乡镇的基本支出结余、项目支出结余等全面进行清理，并一律收回财政统筹安排使用，年底共清理盘活财政存量资金4403万元。</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2" w:firstLineChars="200"/>
        <w:jc w:val="both"/>
        <w:textAlignment w:val="auto"/>
        <w:rPr>
          <w:rFonts w:hint="eastAsia" w:ascii="仿宋_GB2312" w:hAnsi="仿宋" w:eastAsia="仿宋_GB2312" w:cs="Tahoma"/>
          <w:b/>
          <w:bCs/>
          <w:color w:val="auto"/>
          <w:kern w:val="2"/>
          <w:sz w:val="32"/>
          <w:szCs w:val="32"/>
          <w:lang w:val="en-US" w:eastAsia="zh-CN" w:bidi="ar-SA"/>
        </w:rPr>
      </w:pPr>
      <w:r>
        <w:rPr>
          <w:rFonts w:hint="eastAsia" w:ascii="仿宋_GB2312" w:hAnsi="仿宋" w:eastAsia="仿宋_GB2312" w:cs="Tahoma"/>
          <w:b/>
          <w:bCs/>
          <w:color w:val="auto"/>
          <w:kern w:val="2"/>
          <w:sz w:val="32"/>
          <w:szCs w:val="32"/>
          <w:lang w:val="en-US" w:eastAsia="zh-CN" w:bidi="ar-SA"/>
        </w:rPr>
        <w:t>2.优化支出管理，提升财政保障水平</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2"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b/>
          <w:bCs/>
          <w:color w:val="auto"/>
          <w:kern w:val="2"/>
          <w:sz w:val="32"/>
          <w:szCs w:val="32"/>
          <w:lang w:val="en-US" w:eastAsia="zh-CN" w:bidi="ar-SA"/>
        </w:rPr>
        <w:t>一是</w:t>
      </w:r>
      <w:r>
        <w:rPr>
          <w:rFonts w:hint="eastAsia" w:ascii="仿宋_GB2312" w:hAnsi="仿宋" w:eastAsia="仿宋_GB2312" w:cs="Tahoma"/>
          <w:color w:val="auto"/>
          <w:kern w:val="2"/>
          <w:sz w:val="32"/>
          <w:szCs w:val="32"/>
          <w:lang w:val="en-US" w:eastAsia="zh-CN" w:bidi="ar-SA"/>
        </w:rPr>
        <w:t>落实“政府过紧日子”要求，县财政部门坚持优化支出结构，严控“三公”经费开支，继续压减非重点、非刚性支出预算，三公经费较上年下降21%。</w:t>
      </w:r>
      <w:r>
        <w:rPr>
          <w:rFonts w:hint="eastAsia" w:ascii="仿宋_GB2312" w:hAnsi="仿宋" w:eastAsia="仿宋_GB2312" w:cs="Tahoma"/>
          <w:b/>
          <w:bCs/>
          <w:color w:val="auto"/>
          <w:kern w:val="2"/>
          <w:sz w:val="32"/>
          <w:szCs w:val="32"/>
          <w:lang w:val="en-US" w:eastAsia="zh-CN" w:bidi="ar-SA"/>
        </w:rPr>
        <w:t>二是</w:t>
      </w:r>
      <w:r>
        <w:rPr>
          <w:rFonts w:hint="eastAsia" w:ascii="仿宋_GB2312" w:hAnsi="仿宋" w:eastAsia="仿宋_GB2312" w:cs="Tahoma"/>
          <w:color w:val="auto"/>
          <w:kern w:val="2"/>
          <w:sz w:val="32"/>
          <w:szCs w:val="32"/>
          <w:lang w:val="en-US" w:eastAsia="zh-CN" w:bidi="ar-SA"/>
        </w:rPr>
        <w:t>切实兜牢“三保”支出底线，优先和足额保障“三保”支出，不留缺口，将“三保”资金足额预计到位。全年安排“三保”资金159447万元，其中：“保基本民生”支出58314万元，“保工资”支出93163万元，“保运转”支出7970万元。</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2" w:firstLineChars="200"/>
        <w:jc w:val="both"/>
        <w:textAlignment w:val="auto"/>
        <w:rPr>
          <w:rFonts w:hint="eastAsia" w:ascii="仿宋_GB2312" w:hAnsi="仿宋" w:eastAsia="仿宋_GB2312" w:cs="Tahoma"/>
          <w:b/>
          <w:bCs/>
          <w:color w:val="auto"/>
          <w:kern w:val="2"/>
          <w:sz w:val="32"/>
          <w:szCs w:val="32"/>
          <w:lang w:val="en-US" w:eastAsia="zh-CN" w:bidi="ar-SA"/>
        </w:rPr>
      </w:pPr>
      <w:r>
        <w:rPr>
          <w:rFonts w:hint="eastAsia" w:ascii="仿宋_GB2312" w:hAnsi="仿宋" w:eastAsia="仿宋_GB2312" w:cs="Tahoma"/>
          <w:b/>
          <w:bCs/>
          <w:color w:val="auto"/>
          <w:kern w:val="2"/>
          <w:sz w:val="32"/>
          <w:szCs w:val="32"/>
          <w:lang w:val="en-US" w:eastAsia="zh-CN" w:bidi="ar-SA"/>
        </w:rPr>
        <w:t>3.强化重要业务，提高全面服务质量</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2"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b/>
          <w:bCs/>
          <w:color w:val="auto"/>
          <w:kern w:val="2"/>
          <w:sz w:val="32"/>
          <w:szCs w:val="32"/>
          <w:lang w:val="en-US" w:eastAsia="zh-CN" w:bidi="ar-SA"/>
        </w:rPr>
        <w:t>国库集中支付业务：</w:t>
      </w:r>
      <w:r>
        <w:rPr>
          <w:rFonts w:hint="eastAsia" w:ascii="仿宋_GB2312" w:hAnsi="仿宋" w:eastAsia="仿宋_GB2312" w:cs="Tahoma"/>
          <w:color w:val="auto"/>
          <w:kern w:val="2"/>
          <w:sz w:val="32"/>
          <w:szCs w:val="32"/>
          <w:lang w:val="en-US" w:eastAsia="zh-CN" w:bidi="ar-SA"/>
        </w:rPr>
        <w:t>2025年，县财政部门共办理财政云汇总清算929笔，涉及金额418941.82万元；办理国库集中支付中心财政往来专户录入指标2658笔，涉及资金16894.07万元；审批财政用款计划1413笔，涉及资金共计15477.72万元；授权支付支出3100笔，涉及资金共计12868.90万元；处理财政云检测预警2898笔，涉及资金130961.06万元。通过及时办理各项国库集中支付业务，为全县财政工作的快速运转发挥了积极的作用。</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2"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b/>
          <w:bCs/>
          <w:color w:val="auto"/>
          <w:kern w:val="2"/>
          <w:sz w:val="32"/>
          <w:szCs w:val="32"/>
          <w:lang w:val="en-US" w:eastAsia="zh-CN" w:bidi="ar-SA"/>
        </w:rPr>
        <w:t>政府采购业务：</w:t>
      </w:r>
      <w:r>
        <w:rPr>
          <w:rFonts w:hint="eastAsia" w:ascii="仿宋_GB2312" w:hAnsi="仿宋" w:eastAsia="仿宋_GB2312" w:cs="Tahoma"/>
          <w:color w:val="auto"/>
          <w:kern w:val="2"/>
          <w:sz w:val="32"/>
          <w:szCs w:val="32"/>
          <w:lang w:val="en-US" w:eastAsia="zh-CN" w:bidi="ar-SA"/>
        </w:rPr>
        <w:t>2025年，县政府采购中心受全县各采购人委托，共实施政府采购业务78次，执行集中采购预算28863.71万元，实际完成货物、服务、工程类集中采购额共计26256.70万元，节约资金2607.01万元，资金节率9.03%。其中：货物类22584.31万元；服务类3392.53万元；工程类279.85万元。</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2"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b/>
          <w:bCs/>
          <w:color w:val="auto"/>
          <w:kern w:val="2"/>
          <w:sz w:val="32"/>
          <w:szCs w:val="32"/>
          <w:lang w:val="en-US" w:eastAsia="zh-CN" w:bidi="ar-SA"/>
        </w:rPr>
        <w:t>财政投资评审业务：</w:t>
      </w:r>
      <w:r>
        <w:rPr>
          <w:rFonts w:hint="eastAsia" w:ascii="仿宋_GB2312" w:hAnsi="仿宋" w:eastAsia="仿宋_GB2312" w:cs="Tahoma"/>
          <w:color w:val="auto"/>
          <w:kern w:val="2"/>
          <w:sz w:val="32"/>
          <w:szCs w:val="32"/>
          <w:lang w:val="en-US" w:eastAsia="zh-CN" w:bidi="ar-SA"/>
        </w:rPr>
        <w:t>2025年，县财政部门共完成118个项目的预算评审工作，送审金额为66205.02万元，审定金额为63846.07万元，审减金额为2358.95万元，审减率3.56%。通过评审，有效节减了不合理支出，提升了财政管理科学化、精细化水平，提高了财政资金的使用效益。</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2"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b/>
          <w:bCs/>
          <w:color w:val="auto"/>
          <w:kern w:val="2"/>
          <w:sz w:val="32"/>
          <w:szCs w:val="32"/>
          <w:lang w:val="en-US" w:eastAsia="zh-CN" w:bidi="ar-SA"/>
        </w:rPr>
        <w:t>绩效评价业务：</w:t>
      </w:r>
      <w:r>
        <w:rPr>
          <w:rFonts w:hint="eastAsia" w:ascii="仿宋_GB2312" w:hAnsi="仿宋" w:eastAsia="仿宋_GB2312" w:cs="Tahoma"/>
          <w:color w:val="auto"/>
          <w:kern w:val="2"/>
          <w:sz w:val="32"/>
          <w:szCs w:val="32"/>
          <w:lang w:val="en-US" w:eastAsia="zh-CN" w:bidi="ar-SA"/>
        </w:rPr>
        <w:t>2025年，县财政部门针对2024年度预算执行情况开展绩效自评工作培训，对76个预算部门从绩效自评的范围、方式方法以及资料的审核报送方面严格要求，规范的自评工作的流程与规范标准，培训后针对所有预算部门和预算单位开展为期20天的针对性指导，确保自评工作保质保量完成；重点评价方面，于2025年5月20日前对2024年就业补助资金、殡仪馆建设项目、县第三污水处理厂配套管网工程（下十里铺至营田段）、县2024年农村公路破损路段大中修整治工程、2023-2024年农村公路及新增省道养护工程、2024年退役军人补助资金、县第五幼儿园建设项目共7个项目及供销合作联合社2024年部门整体支出进行了重点评价，形成重点绩效评价报告8份，项目评价涉及总金额26188.39万元，其中专项债券9100万元，专项债券配套资金7520.62万元，中央资金1254.68万元，省级资金398.55万元，市级资金4080.71万元，县级资金2508.38万元，部门整体支出评价1325.45万元，为我县下步预算绩效管理的纵深开展提供了有力支撑。</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2"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b/>
          <w:bCs/>
          <w:color w:val="auto"/>
          <w:kern w:val="2"/>
          <w:sz w:val="32"/>
          <w:szCs w:val="32"/>
          <w:lang w:val="en-US" w:eastAsia="zh-CN" w:bidi="ar-SA"/>
        </w:rPr>
        <w:t>非税收入业务：</w:t>
      </w:r>
      <w:r>
        <w:rPr>
          <w:rFonts w:hint="eastAsia" w:ascii="仿宋_GB2312" w:hAnsi="仿宋" w:eastAsia="仿宋_GB2312" w:cs="Tahoma"/>
          <w:color w:val="auto"/>
          <w:kern w:val="2"/>
          <w:sz w:val="32"/>
          <w:szCs w:val="32"/>
          <w:lang w:val="en-US" w:eastAsia="zh-CN" w:bidi="ar-SA"/>
        </w:rPr>
        <w:t>县财政部门共收缴非税收入7198.02万元。纳入预算管理收入6899.16万元，其中：政府性基金收入62.75万元，行政事业性收费3468.04万元，罚没收入1369.28万元，国有资源（资产）有偿使用收入1984.86万元，政府住房资金收入14.26万元；纳入专户管理收入：298.86万元（教育收费），收入达到了预期的目标。</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2"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b/>
          <w:bCs/>
          <w:color w:val="auto"/>
          <w:kern w:val="2"/>
          <w:sz w:val="32"/>
          <w:szCs w:val="32"/>
          <w:lang w:val="en-US" w:eastAsia="zh-CN" w:bidi="ar-SA"/>
        </w:rPr>
        <w:t>融资担保业务：</w:t>
      </w:r>
      <w:r>
        <w:rPr>
          <w:rFonts w:hint="eastAsia" w:ascii="仿宋_GB2312" w:hAnsi="仿宋" w:eastAsia="仿宋_GB2312" w:cs="Tahoma"/>
          <w:color w:val="auto"/>
          <w:kern w:val="2"/>
          <w:sz w:val="32"/>
          <w:szCs w:val="32"/>
          <w:lang w:val="en-US" w:eastAsia="zh-CN" w:bidi="ar-SA"/>
        </w:rPr>
        <w:t>县融资担保公司对贷款项目实行“见贷即保”服务，贷款客户主体通过在农商银行直接申请审批，截至2025年12月底，通过省再担保直保备案1007万元。目前，县融资担保公司零代偿，风险可控，充分发挥了财政资金“四两拨千斤”的作用。</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2" w:firstLineChars="200"/>
        <w:jc w:val="both"/>
        <w:textAlignment w:val="auto"/>
        <w:rPr>
          <w:rFonts w:hint="eastAsia" w:ascii="楷体_GB2312" w:hAnsi="楷体_GB2312" w:eastAsia="楷体_GB2312" w:cs="楷体_GB2312"/>
          <w:b/>
          <w:bCs/>
          <w:color w:val="auto"/>
          <w:w w:val="100"/>
          <w:kern w:val="0"/>
          <w:sz w:val="32"/>
          <w:szCs w:val="32"/>
          <w:shd w:val="clear"/>
          <w:lang w:val="en-US" w:eastAsia="zh-CN"/>
        </w:rPr>
      </w:pPr>
      <w:r>
        <w:rPr>
          <w:rFonts w:hint="eastAsia" w:ascii="楷体_GB2312" w:hAnsi="楷体_GB2312" w:eastAsia="楷体_GB2312" w:cs="楷体_GB2312"/>
          <w:b/>
          <w:bCs/>
          <w:color w:val="auto"/>
          <w:w w:val="100"/>
          <w:kern w:val="0"/>
          <w:sz w:val="32"/>
          <w:szCs w:val="32"/>
          <w:shd w:val="clear"/>
          <w:lang w:val="en-US" w:eastAsia="zh-CN"/>
        </w:rPr>
        <w:t>（八）财政重点工作完成情况</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2" w:firstLineChars="200"/>
        <w:jc w:val="both"/>
        <w:textAlignment w:val="auto"/>
        <w:rPr>
          <w:rFonts w:hint="eastAsia" w:ascii="仿宋_GB2312" w:hAnsi="仿宋" w:eastAsia="仿宋_GB2312" w:cs="Tahoma"/>
          <w:b/>
          <w:bCs/>
          <w:color w:val="auto"/>
          <w:kern w:val="2"/>
          <w:sz w:val="32"/>
          <w:szCs w:val="32"/>
          <w:lang w:val="en-US" w:eastAsia="zh-CN" w:bidi="ar-SA"/>
        </w:rPr>
      </w:pPr>
      <w:r>
        <w:rPr>
          <w:rFonts w:hint="eastAsia" w:ascii="仿宋_GB2312" w:hAnsi="仿宋" w:eastAsia="仿宋_GB2312" w:cs="Tahoma"/>
          <w:b/>
          <w:bCs/>
          <w:color w:val="auto"/>
          <w:kern w:val="2"/>
          <w:sz w:val="32"/>
          <w:szCs w:val="32"/>
          <w:lang w:val="en-US" w:eastAsia="zh-CN" w:bidi="ar-SA"/>
        </w:rPr>
        <w:t>1.加大财政倾斜力度，大力保障和改善民生</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2"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b/>
          <w:bCs/>
          <w:color w:val="auto"/>
          <w:kern w:val="2"/>
          <w:sz w:val="32"/>
          <w:szCs w:val="32"/>
          <w:lang w:val="en-US" w:eastAsia="zh-CN" w:bidi="ar-SA"/>
        </w:rPr>
        <w:t>（1）全面保障教育经费。</w:t>
      </w:r>
      <w:r>
        <w:rPr>
          <w:rFonts w:hint="eastAsia" w:ascii="仿宋_GB2312" w:hAnsi="仿宋" w:eastAsia="仿宋_GB2312" w:cs="Tahoma"/>
          <w:color w:val="auto"/>
          <w:kern w:val="2"/>
          <w:sz w:val="32"/>
          <w:szCs w:val="32"/>
          <w:lang w:val="en-US" w:eastAsia="zh-CN" w:bidi="ar-SA"/>
        </w:rPr>
        <w:t>2025年共投入教育部门专项经费9366.49万元，其中上级专项资金安排</w:t>
      </w:r>
      <w:r>
        <w:rPr>
          <w:rFonts w:hint="default" w:ascii="仿宋_GB2312" w:hAnsi="仿宋" w:eastAsia="仿宋_GB2312" w:cs="Tahoma"/>
          <w:color w:val="auto"/>
          <w:kern w:val="2"/>
          <w:sz w:val="32"/>
          <w:szCs w:val="32"/>
          <w:lang w:val="en-US" w:eastAsia="zh-CN" w:bidi="ar-SA"/>
        </w:rPr>
        <w:t>6116.92</w:t>
      </w:r>
      <w:r>
        <w:rPr>
          <w:rFonts w:hint="eastAsia" w:ascii="仿宋_GB2312" w:hAnsi="仿宋" w:eastAsia="仿宋_GB2312" w:cs="Tahoma"/>
          <w:color w:val="auto"/>
          <w:kern w:val="2"/>
          <w:sz w:val="32"/>
          <w:szCs w:val="32"/>
          <w:lang w:val="en-US" w:eastAsia="zh-CN" w:bidi="ar-SA"/>
        </w:rPr>
        <w:t>万元，县本级预算资金</w:t>
      </w:r>
      <w:r>
        <w:rPr>
          <w:rFonts w:hint="default" w:ascii="仿宋_GB2312" w:hAnsi="仿宋" w:eastAsia="仿宋_GB2312" w:cs="Tahoma"/>
          <w:color w:val="auto"/>
          <w:kern w:val="2"/>
          <w:sz w:val="32"/>
          <w:szCs w:val="32"/>
          <w:lang w:val="en-US" w:eastAsia="zh-CN" w:bidi="ar-SA"/>
        </w:rPr>
        <w:t>3249.57</w:t>
      </w:r>
      <w:r>
        <w:rPr>
          <w:rFonts w:hint="eastAsia" w:ascii="仿宋_GB2312" w:hAnsi="仿宋" w:eastAsia="仿宋_GB2312" w:cs="Tahoma"/>
          <w:color w:val="auto"/>
          <w:kern w:val="2"/>
          <w:sz w:val="32"/>
          <w:szCs w:val="32"/>
          <w:lang w:val="en-US" w:eastAsia="zh-CN" w:bidi="ar-SA"/>
        </w:rPr>
        <w:t>万元。主要用于义务教育薄弱环节学校提升与改造</w:t>
      </w:r>
      <w:r>
        <w:rPr>
          <w:rFonts w:hint="default" w:ascii="仿宋_GB2312" w:hAnsi="仿宋" w:eastAsia="仿宋_GB2312" w:cs="Tahoma"/>
          <w:color w:val="auto"/>
          <w:kern w:val="2"/>
          <w:sz w:val="32"/>
          <w:szCs w:val="32"/>
          <w:lang w:val="en-US" w:eastAsia="zh-CN" w:bidi="ar-SA"/>
        </w:rPr>
        <w:t>857</w:t>
      </w:r>
      <w:r>
        <w:rPr>
          <w:rFonts w:hint="eastAsia" w:ascii="仿宋_GB2312" w:hAnsi="仿宋" w:eastAsia="仿宋_GB2312" w:cs="Tahoma"/>
          <w:color w:val="auto"/>
          <w:kern w:val="2"/>
          <w:sz w:val="32"/>
          <w:szCs w:val="32"/>
          <w:lang w:val="en-US" w:eastAsia="zh-CN" w:bidi="ar-SA"/>
        </w:rPr>
        <w:t>万元，支持学前教育发展公办幼儿园建设</w:t>
      </w:r>
      <w:r>
        <w:rPr>
          <w:rFonts w:hint="default" w:ascii="仿宋_GB2312" w:hAnsi="仿宋" w:eastAsia="仿宋_GB2312" w:cs="Tahoma"/>
          <w:color w:val="auto"/>
          <w:kern w:val="2"/>
          <w:sz w:val="32"/>
          <w:szCs w:val="32"/>
          <w:lang w:val="en-US" w:eastAsia="zh-CN" w:bidi="ar-SA"/>
        </w:rPr>
        <w:t>725</w:t>
      </w:r>
      <w:r>
        <w:rPr>
          <w:rFonts w:hint="eastAsia" w:ascii="仿宋_GB2312" w:hAnsi="仿宋" w:eastAsia="仿宋_GB2312" w:cs="Tahoma"/>
          <w:color w:val="auto"/>
          <w:kern w:val="2"/>
          <w:sz w:val="32"/>
          <w:szCs w:val="32"/>
          <w:lang w:val="en-US" w:eastAsia="zh-CN" w:bidi="ar-SA"/>
        </w:rPr>
        <w:t>万元，基础教育与职业教育绩效奖励</w:t>
      </w:r>
      <w:r>
        <w:rPr>
          <w:rFonts w:hint="default" w:ascii="仿宋_GB2312" w:hAnsi="仿宋" w:eastAsia="仿宋_GB2312" w:cs="Tahoma"/>
          <w:color w:val="auto"/>
          <w:kern w:val="2"/>
          <w:sz w:val="32"/>
          <w:szCs w:val="32"/>
          <w:lang w:val="en-US" w:eastAsia="zh-CN" w:bidi="ar-SA"/>
        </w:rPr>
        <w:t>1016.9</w:t>
      </w:r>
      <w:r>
        <w:rPr>
          <w:rFonts w:hint="eastAsia" w:ascii="仿宋_GB2312" w:hAnsi="仿宋" w:eastAsia="仿宋_GB2312" w:cs="Tahoma"/>
          <w:color w:val="auto"/>
          <w:kern w:val="2"/>
          <w:sz w:val="32"/>
          <w:szCs w:val="32"/>
          <w:lang w:val="en-US" w:eastAsia="zh-CN" w:bidi="ar-SA"/>
        </w:rPr>
        <w:t>万元，义务教育公用经费及补助经费2</w:t>
      </w:r>
      <w:r>
        <w:rPr>
          <w:rFonts w:hint="default" w:ascii="仿宋_GB2312" w:hAnsi="仿宋" w:eastAsia="仿宋_GB2312" w:cs="Tahoma"/>
          <w:color w:val="auto"/>
          <w:kern w:val="2"/>
          <w:sz w:val="32"/>
          <w:szCs w:val="32"/>
          <w:lang w:val="en-US" w:eastAsia="zh-CN" w:bidi="ar-SA"/>
        </w:rPr>
        <w:t>827.64</w:t>
      </w:r>
      <w:r>
        <w:rPr>
          <w:rFonts w:hint="eastAsia" w:ascii="仿宋_GB2312" w:hAnsi="仿宋" w:eastAsia="仿宋_GB2312" w:cs="Tahoma"/>
          <w:color w:val="auto"/>
          <w:kern w:val="2"/>
          <w:sz w:val="32"/>
          <w:szCs w:val="32"/>
          <w:lang w:val="en-US" w:eastAsia="zh-CN" w:bidi="ar-SA"/>
        </w:rPr>
        <w:t>万元，学前教育、高中教育专项支出2065.14万元，职业教育专项支出756</w:t>
      </w:r>
      <w:r>
        <w:rPr>
          <w:rFonts w:hint="default" w:ascii="仿宋_GB2312" w:hAnsi="仿宋" w:eastAsia="仿宋_GB2312" w:cs="Tahoma"/>
          <w:color w:val="auto"/>
          <w:kern w:val="2"/>
          <w:sz w:val="32"/>
          <w:szCs w:val="32"/>
          <w:lang w:val="en-US" w:eastAsia="zh-CN" w:bidi="ar-SA"/>
        </w:rPr>
        <w:t>.55</w:t>
      </w:r>
      <w:r>
        <w:rPr>
          <w:rFonts w:hint="eastAsia" w:ascii="仿宋_GB2312" w:hAnsi="仿宋" w:eastAsia="仿宋_GB2312" w:cs="Tahoma"/>
          <w:color w:val="auto"/>
          <w:kern w:val="2"/>
          <w:sz w:val="32"/>
          <w:szCs w:val="32"/>
          <w:lang w:val="en-US" w:eastAsia="zh-CN" w:bidi="ar-SA"/>
        </w:rPr>
        <w:t>万元，补发2024年度目标责任考核奖励</w:t>
      </w:r>
      <w:r>
        <w:rPr>
          <w:rFonts w:hint="default" w:ascii="仿宋_GB2312" w:hAnsi="仿宋" w:eastAsia="仿宋_GB2312" w:cs="Tahoma"/>
          <w:color w:val="auto"/>
          <w:kern w:val="2"/>
          <w:sz w:val="32"/>
          <w:szCs w:val="32"/>
          <w:lang w:val="en-US" w:eastAsia="zh-CN" w:bidi="ar-SA"/>
        </w:rPr>
        <w:t>121</w:t>
      </w:r>
      <w:r>
        <w:rPr>
          <w:rFonts w:hint="eastAsia" w:ascii="仿宋_GB2312" w:hAnsi="仿宋" w:eastAsia="仿宋_GB2312" w:cs="Tahoma"/>
          <w:color w:val="auto"/>
          <w:kern w:val="2"/>
          <w:sz w:val="32"/>
          <w:szCs w:val="32"/>
          <w:lang w:val="en-US" w:eastAsia="zh-CN" w:bidi="ar-SA"/>
        </w:rPr>
        <w:t>万元，其他教育专项资金997.26万元。</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2"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b/>
          <w:bCs/>
          <w:color w:val="auto"/>
          <w:kern w:val="2"/>
          <w:sz w:val="32"/>
          <w:szCs w:val="32"/>
          <w:lang w:val="en-US" w:eastAsia="zh-CN" w:bidi="ar-SA"/>
        </w:rPr>
        <w:t>（2）加大文化旅游投入。</w:t>
      </w:r>
      <w:r>
        <w:rPr>
          <w:rFonts w:hint="eastAsia" w:ascii="仿宋_GB2312" w:hAnsi="仿宋" w:eastAsia="仿宋_GB2312" w:cs="Tahoma"/>
          <w:color w:val="auto"/>
          <w:kern w:val="2"/>
          <w:sz w:val="32"/>
          <w:szCs w:val="32"/>
          <w:lang w:val="en-US" w:eastAsia="zh-CN" w:bidi="ar-SA"/>
        </w:rPr>
        <w:t>2025年共投入文化旅游专项经费1200万元，其中上级专项资金安排500万元，县本级预算资金700万元。主要用于清涧县路遥文学村项目建设及景区景点维修改造。文化旅游专项资金的投入，不仅完善了我县区基层公共文化阵地基础设施建设，也为景区的基础设施日益完善奠定了基础，提升了景区知名度，提高了游客满意度。</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2"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b/>
          <w:bCs/>
          <w:color w:val="auto"/>
          <w:kern w:val="2"/>
          <w:sz w:val="32"/>
          <w:szCs w:val="32"/>
          <w:lang w:val="en-US" w:eastAsia="zh-CN" w:bidi="ar-SA"/>
        </w:rPr>
        <w:t>（3）全面落实社会保障和就业支出政策。</w:t>
      </w:r>
      <w:r>
        <w:rPr>
          <w:rFonts w:hint="eastAsia" w:ascii="仿宋_GB2312" w:hAnsi="仿宋" w:eastAsia="仿宋_GB2312" w:cs="Tahoma"/>
          <w:color w:val="auto"/>
          <w:kern w:val="2"/>
          <w:sz w:val="32"/>
          <w:szCs w:val="32"/>
          <w:lang w:val="en-US" w:eastAsia="zh-CN" w:bidi="ar-SA"/>
        </w:rPr>
        <w:t>2025年下达困难群众补助资金13821.9万元，残疾人两项补贴资金594.48万元，高龄老人生活保健补贴1645.5万元，养老服务项目建设补助资金764.28万元，老年人意外伤害保险市级补助资金22.58万元，退役安置类项目补助资金2302.46万元，残疾人事业发展补助资金296.45万元，城乡居民养老保险和机关事业单位养老保险制度改革补助资金13690.28万元，确保享受对象及时、足额地领取到补助，保障弱势群体也能享受到政府的关怀，保障社会的稳定和谐；下达就业补助资金1848万元，高校毕业生“三支一扶”计划中央财政补助资金28.8万元，有效地缓解了就业压力，增加了就业岗位，保障了就业再就业工作的顺利开展和就业任务的完成。</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2"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b/>
          <w:bCs/>
          <w:color w:val="auto"/>
          <w:kern w:val="2"/>
          <w:sz w:val="32"/>
          <w:szCs w:val="32"/>
          <w:lang w:val="en-US" w:eastAsia="zh-CN" w:bidi="ar-SA"/>
        </w:rPr>
        <w:t>（4）加大公共卫生医疗投入。</w:t>
      </w:r>
      <w:r>
        <w:rPr>
          <w:rFonts w:hint="eastAsia" w:ascii="仿宋_GB2312" w:hAnsi="仿宋" w:eastAsia="仿宋_GB2312" w:cs="Tahoma"/>
          <w:color w:val="auto"/>
          <w:kern w:val="2"/>
          <w:sz w:val="32"/>
          <w:szCs w:val="32"/>
          <w:lang w:val="en-US" w:eastAsia="zh-CN" w:bidi="ar-SA"/>
        </w:rPr>
        <w:t>2025年共拨付卫生计生各类专项补助资金4698.38万元，其中：基本公共卫生1497.96万元、重大公共卫生19.3万元、村卫生室实施国家基本药物制度393.96万元、乡村医生队伍建设以及驻村专项补助资金650.6万元、公立医院改革454.41万元、国家普惠托育服务发展补助资金2.2万元、育儿补贴补助资金1211.31万元、家庭医生签约服务专项补助资金18.73万元、适龄妇女“两癌”筛查市级补助资金10.58万元、孕妇产前筛查和新生儿疾病筛查补助资金0.08万元、其他卫生类专项资金439.26万元；拨付计生类专项补助资金254.85万元。进一步推进基层医疗卫生机构服务体系建设，提升我县基层医疗服务能力，建立健全覆盖城乡的卫生计生服务体系，实现人人享有基本医疗卫生服务，基本医疗卫生制度覆盖全县，为城乡居民提供了保障，确保了我县居民及时享受到政府的惠民政策。</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2"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b/>
          <w:bCs/>
          <w:color w:val="auto"/>
          <w:kern w:val="2"/>
          <w:sz w:val="32"/>
          <w:szCs w:val="32"/>
          <w:lang w:val="en-US" w:eastAsia="zh-CN" w:bidi="ar-SA"/>
        </w:rPr>
        <w:t>（5）惠农惠民政策落到实处。</w:t>
      </w:r>
      <w:r>
        <w:rPr>
          <w:rFonts w:hint="eastAsia" w:ascii="仿宋_GB2312" w:hAnsi="仿宋" w:eastAsia="仿宋_GB2312" w:cs="Tahoma"/>
          <w:color w:val="auto"/>
          <w:kern w:val="2"/>
          <w:sz w:val="32"/>
          <w:szCs w:val="32"/>
          <w:lang w:val="en-US" w:eastAsia="zh-CN" w:bidi="ar-SA"/>
        </w:rPr>
        <w:t>严格按程序办事、依法理财，做到资金跟着项目走，杜绝截留、挪用、套取财政资金问题的发生，2025年惠民惠农一卡通共发放耕地地力保护补贴1862.19万元。</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2" w:firstLineChars="200"/>
        <w:jc w:val="both"/>
        <w:textAlignment w:val="auto"/>
        <w:rPr>
          <w:rFonts w:hint="eastAsia" w:ascii="仿宋_GB2312" w:hAnsi="仿宋" w:eastAsia="仿宋_GB2312" w:cs="Tahoma"/>
          <w:b/>
          <w:bCs/>
          <w:color w:val="auto"/>
          <w:kern w:val="2"/>
          <w:sz w:val="32"/>
          <w:szCs w:val="32"/>
          <w:lang w:val="en-US" w:eastAsia="zh-CN" w:bidi="ar-SA"/>
        </w:rPr>
      </w:pPr>
      <w:r>
        <w:rPr>
          <w:rFonts w:hint="eastAsia" w:ascii="仿宋_GB2312" w:hAnsi="仿宋" w:eastAsia="仿宋_GB2312" w:cs="Tahoma"/>
          <w:b/>
          <w:bCs/>
          <w:color w:val="auto"/>
          <w:kern w:val="2"/>
          <w:sz w:val="32"/>
          <w:szCs w:val="32"/>
          <w:lang w:val="en-US" w:eastAsia="zh-CN" w:bidi="ar-SA"/>
        </w:rPr>
        <w:t>2.强化财政资金保障，全面推进乡村振兴</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2"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b/>
          <w:bCs/>
          <w:color w:val="auto"/>
          <w:kern w:val="2"/>
          <w:sz w:val="32"/>
          <w:szCs w:val="32"/>
          <w:lang w:val="en-US" w:eastAsia="zh-CN" w:bidi="ar-SA"/>
        </w:rPr>
        <w:t>一是</w:t>
      </w:r>
      <w:r>
        <w:rPr>
          <w:rFonts w:hint="eastAsia" w:ascii="仿宋_GB2312" w:hAnsi="仿宋" w:eastAsia="仿宋_GB2312" w:cs="Tahoma"/>
          <w:color w:val="auto"/>
          <w:kern w:val="2"/>
          <w:sz w:val="32"/>
          <w:szCs w:val="32"/>
          <w:lang w:val="en-US" w:eastAsia="zh-CN" w:bidi="ar-SA"/>
        </w:rPr>
        <w:t>项目储备。2025年项目库储备项目640个，涉及资金5.06亿元；纳入年度项目计划366个，涉及资金2.16亿元。</w:t>
      </w:r>
      <w:r>
        <w:rPr>
          <w:rFonts w:hint="eastAsia" w:ascii="仿宋_GB2312" w:hAnsi="仿宋" w:eastAsia="仿宋_GB2312" w:cs="Tahoma"/>
          <w:b/>
          <w:bCs/>
          <w:color w:val="auto"/>
          <w:kern w:val="2"/>
          <w:sz w:val="32"/>
          <w:szCs w:val="32"/>
          <w:lang w:val="en-US" w:eastAsia="zh-CN" w:bidi="ar-SA"/>
        </w:rPr>
        <w:t>二是</w:t>
      </w:r>
      <w:r>
        <w:rPr>
          <w:rFonts w:hint="eastAsia" w:ascii="仿宋_GB2312" w:hAnsi="仿宋" w:eastAsia="仿宋_GB2312" w:cs="Tahoma"/>
          <w:color w:val="auto"/>
          <w:kern w:val="2"/>
          <w:sz w:val="32"/>
          <w:szCs w:val="32"/>
          <w:lang w:val="en-US" w:eastAsia="zh-CN" w:bidi="ar-SA"/>
        </w:rPr>
        <w:t>资金管理。2025年安排中省市县衔接资金21634万元，其中：中央资金6628万元，产业占比70.65%；省级资金4261万元，产业占比70.65%；市级资金9095万元，产业占比64.93%；县级资金1650万元。截至2025年12月31日，我县中省市县衔接资金支出进度85.5%。</w:t>
      </w:r>
      <w:r>
        <w:rPr>
          <w:rFonts w:hint="eastAsia" w:ascii="仿宋_GB2312" w:hAnsi="仿宋" w:eastAsia="仿宋_GB2312" w:cs="Tahoma"/>
          <w:b/>
          <w:bCs/>
          <w:color w:val="auto"/>
          <w:kern w:val="2"/>
          <w:sz w:val="32"/>
          <w:szCs w:val="32"/>
          <w:lang w:val="en-US" w:eastAsia="zh-CN" w:bidi="ar-SA"/>
        </w:rPr>
        <w:t>三是</w:t>
      </w:r>
      <w:r>
        <w:rPr>
          <w:rFonts w:hint="eastAsia" w:ascii="仿宋_GB2312" w:hAnsi="仿宋" w:eastAsia="仿宋_GB2312" w:cs="Tahoma"/>
          <w:color w:val="auto"/>
          <w:kern w:val="2"/>
          <w:sz w:val="32"/>
          <w:szCs w:val="32"/>
          <w:lang w:val="en-US" w:eastAsia="zh-CN" w:bidi="ar-SA"/>
        </w:rPr>
        <w:t>消费扶贫。县财政部门积极督促各预算单位做好“832平台”农副产品采购预留份额、填报和农副产品的采购工作，2025年清涧县预留采购总额为74.66万元，已完成79.71万元。</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2" w:firstLineChars="200"/>
        <w:jc w:val="both"/>
        <w:textAlignment w:val="auto"/>
        <w:rPr>
          <w:rFonts w:hint="eastAsia" w:ascii="仿宋_GB2312" w:hAnsi="仿宋" w:eastAsia="仿宋_GB2312" w:cs="Tahoma"/>
          <w:b/>
          <w:bCs/>
          <w:color w:val="auto"/>
          <w:kern w:val="2"/>
          <w:sz w:val="32"/>
          <w:szCs w:val="32"/>
          <w:lang w:val="en-US" w:eastAsia="zh-CN" w:bidi="ar-SA"/>
        </w:rPr>
      </w:pPr>
      <w:r>
        <w:rPr>
          <w:rFonts w:hint="eastAsia" w:ascii="仿宋_GB2312" w:hAnsi="仿宋" w:eastAsia="仿宋_GB2312" w:cs="Tahoma"/>
          <w:b/>
          <w:bCs/>
          <w:color w:val="auto"/>
          <w:kern w:val="2"/>
          <w:sz w:val="32"/>
          <w:szCs w:val="32"/>
          <w:lang w:val="en-US" w:eastAsia="zh-CN" w:bidi="ar-SA"/>
        </w:rPr>
        <w:t>3.落实积极财政政策，助力经济高质量发展</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2"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b/>
          <w:bCs/>
          <w:color w:val="auto"/>
          <w:kern w:val="2"/>
          <w:sz w:val="32"/>
          <w:szCs w:val="32"/>
          <w:lang w:val="en-US" w:eastAsia="zh-CN" w:bidi="ar-SA"/>
        </w:rPr>
        <w:t>一是</w:t>
      </w:r>
      <w:r>
        <w:rPr>
          <w:rFonts w:hint="eastAsia" w:ascii="仿宋_GB2312" w:hAnsi="仿宋" w:eastAsia="仿宋_GB2312" w:cs="Tahoma"/>
          <w:color w:val="auto"/>
          <w:kern w:val="2"/>
          <w:sz w:val="32"/>
          <w:szCs w:val="32"/>
          <w:lang w:val="en-US" w:eastAsia="zh-CN" w:bidi="ar-SA"/>
        </w:rPr>
        <w:t>抢抓政策机遇，会同各行业部门紧盯政策动向，围绕国家鼓励和扶持关键领域，争取超长期国债资金773万元，主要用于陕北防护林建设工程。</w:t>
      </w:r>
      <w:r>
        <w:rPr>
          <w:rFonts w:hint="eastAsia" w:ascii="仿宋_GB2312" w:hAnsi="仿宋" w:eastAsia="仿宋_GB2312" w:cs="Tahoma"/>
          <w:b/>
          <w:bCs/>
          <w:color w:val="auto"/>
          <w:kern w:val="2"/>
          <w:sz w:val="32"/>
          <w:szCs w:val="32"/>
          <w:lang w:val="en-US" w:eastAsia="zh-CN" w:bidi="ar-SA"/>
        </w:rPr>
        <w:t>二是</w:t>
      </w:r>
      <w:r>
        <w:rPr>
          <w:rFonts w:hint="eastAsia" w:ascii="仿宋_GB2312" w:hAnsi="仿宋" w:eastAsia="仿宋_GB2312" w:cs="Tahoma"/>
          <w:color w:val="auto"/>
          <w:kern w:val="2"/>
          <w:sz w:val="32"/>
          <w:szCs w:val="32"/>
          <w:lang w:val="en-US" w:eastAsia="zh-CN" w:bidi="ar-SA"/>
        </w:rPr>
        <w:t>积极争取政府债券资金，全年累计争取债券资金50600万元，其中一般债券20300万元，专项债券30300万元，债券资金争取工作取得显著成效，有力地促进县域经济社会健康稳定发展。</w:t>
      </w:r>
      <w:r>
        <w:rPr>
          <w:rFonts w:hint="eastAsia" w:ascii="仿宋_GB2312" w:hAnsi="仿宋" w:eastAsia="仿宋_GB2312" w:cs="Tahoma"/>
          <w:b/>
          <w:bCs/>
          <w:color w:val="auto"/>
          <w:kern w:val="2"/>
          <w:sz w:val="32"/>
          <w:szCs w:val="32"/>
          <w:lang w:val="en-US" w:eastAsia="zh-CN" w:bidi="ar-SA"/>
        </w:rPr>
        <w:t>三是</w:t>
      </w:r>
      <w:r>
        <w:rPr>
          <w:rFonts w:hint="eastAsia" w:ascii="仿宋_GB2312" w:hAnsi="仿宋" w:eastAsia="仿宋_GB2312" w:cs="Tahoma"/>
          <w:color w:val="auto"/>
          <w:kern w:val="2"/>
          <w:sz w:val="32"/>
          <w:szCs w:val="32"/>
          <w:lang w:val="en-US" w:eastAsia="zh-CN" w:bidi="ar-SA"/>
        </w:rPr>
        <w:t>落实惠企政策减轻企业负担，配合县税务部门围绕促进区域发展、促进中小企业发展、科技创新等方面的政策，全年新增减税降费972.04万元。</w:t>
      </w:r>
      <w:r>
        <w:rPr>
          <w:rFonts w:hint="eastAsia" w:ascii="仿宋_GB2312" w:hAnsi="仿宋" w:eastAsia="仿宋_GB2312" w:cs="Tahoma"/>
          <w:b/>
          <w:bCs/>
          <w:color w:val="auto"/>
          <w:kern w:val="2"/>
          <w:sz w:val="32"/>
          <w:szCs w:val="32"/>
          <w:lang w:val="en-US" w:eastAsia="zh-CN" w:bidi="ar-SA"/>
        </w:rPr>
        <w:t>四是</w:t>
      </w:r>
      <w:r>
        <w:rPr>
          <w:rFonts w:hint="eastAsia" w:ascii="仿宋_GB2312" w:hAnsi="仿宋" w:eastAsia="仿宋_GB2312" w:cs="Tahoma"/>
          <w:color w:val="auto"/>
          <w:kern w:val="2"/>
          <w:sz w:val="32"/>
          <w:szCs w:val="32"/>
          <w:lang w:val="en-US" w:eastAsia="zh-CN" w:bidi="ar-SA"/>
        </w:rPr>
        <w:t>进一步优化融资服务，扩大政府性融资担保业务覆盖面，发挥政府融资平台作用，降低企业融资成本，全年累计担保22笔，共计2092万元。同时创新银担合作机制，政府融资担保公司与县域内农商银行、长安银行等金融机构签订了合作协议，建立银行、担保机构共同参与，合理分险的新型政银担协作机制，引导更多“金融活水”流向市场主体，助推县域经济健康发展。</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2" w:firstLineChars="200"/>
        <w:jc w:val="both"/>
        <w:textAlignment w:val="auto"/>
        <w:rPr>
          <w:rFonts w:hint="eastAsia" w:ascii="仿宋_GB2312" w:hAnsi="仿宋" w:eastAsia="仿宋_GB2312" w:cs="Tahoma"/>
          <w:b/>
          <w:bCs/>
          <w:color w:val="auto"/>
          <w:kern w:val="2"/>
          <w:sz w:val="32"/>
          <w:szCs w:val="32"/>
          <w:lang w:val="en-US" w:eastAsia="zh-CN" w:bidi="ar-SA"/>
        </w:rPr>
      </w:pPr>
      <w:r>
        <w:rPr>
          <w:rFonts w:hint="eastAsia" w:ascii="仿宋_GB2312" w:hAnsi="仿宋" w:eastAsia="仿宋_GB2312" w:cs="Tahoma"/>
          <w:b/>
          <w:bCs/>
          <w:color w:val="auto"/>
          <w:kern w:val="2"/>
          <w:sz w:val="32"/>
          <w:szCs w:val="32"/>
          <w:lang w:val="en-US" w:eastAsia="zh-CN" w:bidi="ar-SA"/>
        </w:rPr>
        <w:t>4.加大财政监管力度，提高抗风险能力</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0"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color w:val="auto"/>
          <w:kern w:val="2"/>
          <w:sz w:val="32"/>
          <w:szCs w:val="32"/>
          <w:lang w:val="en-US" w:eastAsia="zh-CN" w:bidi="ar-SA"/>
        </w:rPr>
        <w:t>积极推动落实财政政策，着力提升财政治理能力和服务水平。</w:t>
      </w:r>
      <w:r>
        <w:rPr>
          <w:rFonts w:hint="eastAsia" w:ascii="仿宋_GB2312" w:hAnsi="仿宋" w:eastAsia="仿宋_GB2312" w:cs="Tahoma"/>
          <w:b/>
          <w:bCs/>
          <w:color w:val="auto"/>
          <w:kern w:val="2"/>
          <w:sz w:val="32"/>
          <w:szCs w:val="32"/>
          <w:lang w:val="en-US" w:eastAsia="zh-CN" w:bidi="ar-SA"/>
        </w:rPr>
        <w:t>一是</w:t>
      </w:r>
      <w:r>
        <w:rPr>
          <w:rFonts w:hint="eastAsia" w:ascii="仿宋_GB2312" w:hAnsi="仿宋" w:eastAsia="仿宋_GB2312" w:cs="Tahoma"/>
          <w:color w:val="auto"/>
          <w:kern w:val="2"/>
          <w:sz w:val="32"/>
          <w:szCs w:val="32"/>
          <w:lang w:val="en-US" w:eastAsia="zh-CN" w:bidi="ar-SA"/>
        </w:rPr>
        <w:t>积极化解政府债务。2025年履约完成偿还到期一般债券4216万元，其中再融资2950万元，新增一般债券还本1266万元；偿还到期专项债券3000万元，其中再融资2400万元，新增专项债券还本600万元。</w:t>
      </w:r>
      <w:r>
        <w:rPr>
          <w:rFonts w:hint="eastAsia" w:ascii="仿宋_GB2312" w:hAnsi="仿宋" w:eastAsia="仿宋_GB2312" w:cs="Tahoma"/>
          <w:b/>
          <w:bCs/>
          <w:color w:val="auto"/>
          <w:kern w:val="2"/>
          <w:sz w:val="32"/>
          <w:szCs w:val="32"/>
          <w:lang w:val="en-US" w:eastAsia="zh-CN" w:bidi="ar-SA"/>
        </w:rPr>
        <w:t>二是</w:t>
      </w:r>
      <w:r>
        <w:rPr>
          <w:rFonts w:hint="eastAsia" w:ascii="仿宋_GB2312" w:hAnsi="仿宋" w:eastAsia="仿宋_GB2312" w:cs="Tahoma"/>
          <w:color w:val="auto"/>
          <w:kern w:val="2"/>
          <w:sz w:val="32"/>
          <w:szCs w:val="32"/>
          <w:lang w:val="en-US" w:eastAsia="zh-CN" w:bidi="ar-SA"/>
        </w:rPr>
        <w:t>进一步严肃财经纪律。强化财政日常监督检查，从严控制“三公”经费支出，2025年“三公”经费支出较上年下降21%。</w:t>
      </w:r>
      <w:r>
        <w:rPr>
          <w:rFonts w:hint="eastAsia" w:ascii="仿宋_GB2312" w:hAnsi="仿宋" w:eastAsia="仿宋_GB2312" w:cs="Tahoma"/>
          <w:b/>
          <w:bCs/>
          <w:color w:val="auto"/>
          <w:kern w:val="2"/>
          <w:sz w:val="32"/>
          <w:szCs w:val="32"/>
          <w:lang w:val="en-US" w:eastAsia="zh-CN" w:bidi="ar-SA"/>
        </w:rPr>
        <w:t>三是</w:t>
      </w:r>
      <w:r>
        <w:rPr>
          <w:rFonts w:hint="eastAsia" w:ascii="仿宋_GB2312" w:hAnsi="仿宋" w:eastAsia="仿宋_GB2312" w:cs="Tahoma"/>
          <w:color w:val="auto"/>
          <w:kern w:val="2"/>
          <w:sz w:val="32"/>
          <w:szCs w:val="32"/>
          <w:lang w:val="en-US" w:eastAsia="zh-CN" w:bidi="ar-SA"/>
        </w:rPr>
        <w:t>主动清理拖欠企业账款。通过开展专项排查，2025年我县拖欠地方国有企业账款6个项目共计117.96万元，已按照时限要求全部清偿;转送系统投诉共7笔，7个项目涉及金额31.74万元,截至2025年12月15日全部还清。</w:t>
      </w:r>
      <w:r>
        <w:rPr>
          <w:rFonts w:hint="eastAsia" w:ascii="仿宋_GB2312" w:hAnsi="仿宋" w:eastAsia="仿宋_GB2312" w:cs="Tahoma"/>
          <w:b/>
          <w:bCs/>
          <w:color w:val="auto"/>
          <w:kern w:val="2"/>
          <w:sz w:val="32"/>
          <w:szCs w:val="32"/>
          <w:lang w:val="en-US" w:eastAsia="zh-CN" w:bidi="ar-SA"/>
        </w:rPr>
        <w:t>四是</w:t>
      </w:r>
      <w:r>
        <w:rPr>
          <w:rFonts w:hint="eastAsia" w:ascii="仿宋_GB2312" w:hAnsi="仿宋" w:eastAsia="仿宋_GB2312" w:cs="Tahoma"/>
          <w:color w:val="auto"/>
          <w:kern w:val="2"/>
          <w:sz w:val="32"/>
          <w:szCs w:val="32"/>
          <w:lang w:val="en-US" w:eastAsia="zh-CN" w:bidi="ar-SA"/>
        </w:rPr>
        <w:t>规范政府投资项目评审。2025年共完成118个项目的预算评审工作，其中，送审金额为66205.02万元，审定金额为63846.07万元，审减金额为2358.95万元，审减率3.56%。</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2" w:firstLineChars="200"/>
        <w:jc w:val="both"/>
        <w:textAlignment w:val="auto"/>
        <w:rPr>
          <w:rFonts w:hint="eastAsia" w:ascii="仿宋_GB2312" w:hAnsi="仿宋" w:eastAsia="仿宋_GB2312" w:cs="Tahoma"/>
          <w:b/>
          <w:bCs/>
          <w:color w:val="auto"/>
          <w:kern w:val="2"/>
          <w:sz w:val="32"/>
          <w:szCs w:val="32"/>
          <w:lang w:val="en-US" w:eastAsia="zh-CN" w:bidi="ar-SA"/>
        </w:rPr>
      </w:pPr>
      <w:r>
        <w:rPr>
          <w:rFonts w:hint="eastAsia" w:ascii="仿宋_GB2312" w:hAnsi="仿宋" w:eastAsia="仿宋_GB2312" w:cs="Tahoma"/>
          <w:b/>
          <w:bCs/>
          <w:color w:val="auto"/>
          <w:kern w:val="2"/>
          <w:sz w:val="32"/>
          <w:szCs w:val="32"/>
          <w:lang w:val="en-US" w:eastAsia="zh-CN" w:bidi="ar-SA"/>
        </w:rPr>
        <w:t>5.持续优化营商环境，激发市场主体活力</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0"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color w:val="auto"/>
          <w:kern w:val="2"/>
          <w:sz w:val="32"/>
          <w:szCs w:val="32"/>
          <w:lang w:val="en-US" w:eastAsia="zh-CN" w:bidi="ar-SA"/>
        </w:rPr>
        <w:t>紧紧围绕县委、县政府决策部署，全力推动各项稳经济促发展政策落地见效。</w:t>
      </w:r>
      <w:r>
        <w:rPr>
          <w:rFonts w:hint="eastAsia" w:ascii="仿宋_GB2312" w:hAnsi="仿宋" w:eastAsia="仿宋_GB2312" w:cs="Tahoma"/>
          <w:b/>
          <w:bCs/>
          <w:color w:val="auto"/>
          <w:kern w:val="2"/>
          <w:sz w:val="32"/>
          <w:szCs w:val="32"/>
          <w:lang w:val="en-US" w:eastAsia="zh-CN" w:bidi="ar-SA"/>
        </w:rPr>
        <w:t>一是</w:t>
      </w:r>
      <w:r>
        <w:rPr>
          <w:rFonts w:hint="eastAsia" w:ascii="仿宋_GB2312" w:hAnsi="仿宋" w:eastAsia="仿宋_GB2312" w:cs="Tahoma"/>
          <w:color w:val="auto"/>
          <w:kern w:val="2"/>
          <w:sz w:val="32"/>
          <w:szCs w:val="32"/>
          <w:lang w:val="en-US" w:eastAsia="zh-CN" w:bidi="ar-SA"/>
        </w:rPr>
        <w:t>助力实体经济发展。为促进中小微企业持续健康发展，2025年县财政共拨付全县21户企业发展奖补资金562.3万元，同时，组织申报2025年度省市中小企业项目6个，涉及企业18家，有效促进了我县中小企业生产积极性，发挥财政资金引导和杠杆作用。</w:t>
      </w:r>
      <w:r>
        <w:rPr>
          <w:rFonts w:hint="eastAsia" w:ascii="仿宋_GB2312" w:hAnsi="仿宋" w:eastAsia="仿宋_GB2312" w:cs="Tahoma"/>
          <w:b/>
          <w:bCs/>
          <w:color w:val="auto"/>
          <w:kern w:val="2"/>
          <w:sz w:val="32"/>
          <w:szCs w:val="32"/>
          <w:lang w:val="en-US" w:eastAsia="zh-CN" w:bidi="ar-SA"/>
        </w:rPr>
        <w:t>二是</w:t>
      </w:r>
      <w:r>
        <w:rPr>
          <w:rFonts w:hint="eastAsia" w:ascii="仿宋_GB2312" w:hAnsi="仿宋" w:eastAsia="仿宋_GB2312" w:cs="Tahoma"/>
          <w:color w:val="auto"/>
          <w:kern w:val="2"/>
          <w:sz w:val="32"/>
          <w:szCs w:val="32"/>
          <w:lang w:val="en-US" w:eastAsia="zh-CN" w:bidi="ar-SA"/>
        </w:rPr>
        <w:t>加大对中小企业支持力度。面向中小企业采购货物类、服务类、工程类项目，共计7421.78万元。</w:t>
      </w:r>
      <w:r>
        <w:rPr>
          <w:rFonts w:hint="eastAsia" w:ascii="仿宋_GB2312" w:hAnsi="仿宋" w:eastAsia="仿宋_GB2312" w:cs="Tahoma"/>
          <w:b/>
          <w:bCs/>
          <w:color w:val="auto"/>
          <w:kern w:val="2"/>
          <w:sz w:val="32"/>
          <w:szCs w:val="32"/>
          <w:lang w:val="en-US" w:eastAsia="zh-CN" w:bidi="ar-SA"/>
        </w:rPr>
        <w:t>三是</w:t>
      </w:r>
      <w:r>
        <w:rPr>
          <w:rFonts w:hint="eastAsia" w:ascii="仿宋_GB2312" w:hAnsi="仿宋" w:eastAsia="仿宋_GB2312" w:cs="Tahoma"/>
          <w:color w:val="auto"/>
          <w:kern w:val="2"/>
          <w:sz w:val="32"/>
          <w:szCs w:val="32"/>
          <w:lang w:val="en-US" w:eastAsia="zh-CN" w:bidi="ar-SA"/>
        </w:rPr>
        <w:t>加快推进“互联网+政府采购”。进一步规范通用类小额项目采购行为，提高采购效率、降低采购成本，11月份正式在省政府采购网上设立政府采购电子卖场清涧县分站，目前第一批供应商常态化征集结果已结束，共征集到11家供应商，下一步将完成对全部入驻供应商的产品上架培训和全县各预算单位业务人员的操作培训。</w:t>
      </w:r>
      <w:r>
        <w:rPr>
          <w:rFonts w:hint="eastAsia" w:ascii="仿宋_GB2312" w:hAnsi="仿宋" w:eastAsia="仿宋_GB2312" w:cs="Tahoma"/>
          <w:b/>
          <w:bCs/>
          <w:color w:val="auto"/>
          <w:kern w:val="2"/>
          <w:sz w:val="32"/>
          <w:szCs w:val="32"/>
          <w:lang w:val="en-US" w:eastAsia="zh-CN" w:bidi="ar-SA"/>
        </w:rPr>
        <w:t>四是</w:t>
      </w:r>
      <w:r>
        <w:rPr>
          <w:rFonts w:hint="eastAsia" w:ascii="仿宋_GB2312" w:hAnsi="仿宋" w:eastAsia="仿宋_GB2312" w:cs="Tahoma"/>
          <w:color w:val="auto"/>
          <w:kern w:val="2"/>
          <w:sz w:val="32"/>
          <w:szCs w:val="32"/>
          <w:lang w:val="en-US" w:eastAsia="zh-CN" w:bidi="ar-SA"/>
        </w:rPr>
        <w:t>依法依规发布采购信息。全年累计在陕西省政府采购网和陕西省公共资源交易网上公开发布意向公开信息106条，采购公告91条，结果公告91条，单一来源公示5条，合同公示信息57条。</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2" w:firstLineChars="200"/>
        <w:jc w:val="both"/>
        <w:textAlignment w:val="auto"/>
        <w:rPr>
          <w:rFonts w:hint="eastAsia" w:ascii="仿宋_GB2312" w:hAnsi="仿宋" w:eastAsia="仿宋_GB2312" w:cs="Tahoma"/>
          <w:b/>
          <w:bCs/>
          <w:color w:val="auto"/>
          <w:kern w:val="2"/>
          <w:sz w:val="32"/>
          <w:szCs w:val="32"/>
          <w:lang w:val="en-US" w:eastAsia="zh-CN" w:bidi="ar-SA"/>
        </w:rPr>
      </w:pPr>
      <w:r>
        <w:rPr>
          <w:rFonts w:hint="eastAsia" w:ascii="仿宋_GB2312" w:hAnsi="仿宋" w:eastAsia="仿宋_GB2312" w:cs="Tahoma"/>
          <w:b/>
          <w:bCs/>
          <w:color w:val="auto"/>
          <w:kern w:val="2"/>
          <w:sz w:val="32"/>
          <w:szCs w:val="32"/>
          <w:lang w:val="en-US" w:eastAsia="zh-CN" w:bidi="ar-SA"/>
        </w:rPr>
        <w:t>6.加大财会监督力度，财经纪律约束显著增强</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0"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color w:val="auto"/>
          <w:kern w:val="2"/>
          <w:sz w:val="32"/>
          <w:szCs w:val="32"/>
          <w:lang w:val="en-US" w:eastAsia="zh-CN" w:bidi="ar-SA"/>
        </w:rPr>
        <w:t>为深入贯彻落实《中共中央办公厅、国务院办公厅印发&lt;关于进一步加强财会监督工作的意见&gt;的通知（中办发〔2023〕4号)》和《中共陕西省委办公厅、陕西省人民政府办公厅印发&lt;关于进一步加强财会监督工作的实施方案&gt;的通知（陕办发〔2023〕17号）》精神，认真落实2025年财会监督专项行动部署要求，县财政部门开展了全县2025年度会计和评估监督检查工作，按照会计和评估监督检查的有关规定，首先在清涧县人民政府网站平台上发布了《清涧县财政局关于开展2025年度会计和评估监督检查工作的通知》（清财会发〔2025〕14号）文件，同时向被检查的单位送达了监督检查通知文件，明确了会计和评估监督检查范围内容，包括会计信息质量、财务管理制度等内容，重点查看会计准则制度和企业会计准则制度执行等情况，并结合检查开展专题调研，进一步推动我县行政事业单位政府会计准则制度和重点企业会计准则制度的有力执行。根据监督检查工作要求，检查小组通过随机抽取的方式，在全县范围内选定了水利局、供销社、店则沟镇人民政府、路遥纪念馆及清涧县河道砂资源开发公司进行了全面检查，并提出有针对性的意见建议，督促被检查单位尽快制定整改措施，并限期落实整改，进一步提高了我县行政事业单位和企业单位的会计信息质量，推动财政督查工作更好的有力有序开展。</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2" w:firstLineChars="200"/>
        <w:jc w:val="both"/>
        <w:textAlignment w:val="auto"/>
        <w:rPr>
          <w:rFonts w:hint="eastAsia" w:ascii="仿宋_GB2312" w:hAnsi="仿宋" w:eastAsia="仿宋_GB2312" w:cs="Tahoma"/>
          <w:b/>
          <w:bCs/>
          <w:color w:val="auto"/>
          <w:kern w:val="2"/>
          <w:sz w:val="32"/>
          <w:szCs w:val="32"/>
          <w:lang w:val="en-US" w:eastAsia="zh-CN" w:bidi="ar-SA"/>
        </w:rPr>
      </w:pPr>
      <w:r>
        <w:rPr>
          <w:rFonts w:hint="eastAsia" w:ascii="仿宋_GB2312" w:hAnsi="仿宋" w:eastAsia="仿宋_GB2312" w:cs="Tahoma"/>
          <w:b/>
          <w:bCs/>
          <w:color w:val="auto"/>
          <w:kern w:val="2"/>
          <w:sz w:val="32"/>
          <w:szCs w:val="32"/>
          <w:lang w:val="en-US" w:eastAsia="zh-CN" w:bidi="ar-SA"/>
        </w:rPr>
        <w:t>7.聚焦财政资金使用监管，深化“群腐”专项整治工作</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0"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color w:val="auto"/>
          <w:kern w:val="2"/>
          <w:sz w:val="32"/>
          <w:szCs w:val="32"/>
          <w:lang w:val="en-US" w:eastAsia="zh-CN" w:bidi="ar-SA"/>
        </w:rPr>
        <w:t>根据《2025年深化群众身边不止之风和腐败问题集中整治工作实施方案》要求，为做好群腐专项整治中乡村振兴资金使用监管工作，县财政部门先后印发了《清涧县惠民惠农财政补贴“一卡通”发放使用监管专项整治实施方案》、《清涧县乡镇财政资金监管专项整治实施方案》、《清涧县财政惠农惠民补贴资金暨乡镇财政资金使用监管方面集中整治自查和检查的通知》，成立5个检查组、3个综合协调组，对县级惠农惠民补贴业务重点单位、9个乡镇、5个便民中心，1个街道办，重点从财政惠农惠民补贴资金管理、乡镇财政资金使用管理两个方面开展集中整治自查和检查工作。自集中整治自查和检查工作开展以来，共发现问题共61条，已全部整改。其中：财政惠农惠民补贴资金方面共发现问题22条，主要为应纳未纳入“一卡通”管理，未定期、按时兑现、低保金卡号错误导致未能及时发放、耕地地力补贴和退耕还林金重复发放等问题，涉及金额9179.42万元，已全部整改；乡镇财政资金使用监管方面共发现问题39条，主要为未建立乡镇食堂经费管理标准及管理制度，镇级工程项目“三重一大”不完善、预算管理内控机制不健全等问题，涉及金额147.32万元，已全部整改。</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2" w:firstLineChars="200"/>
        <w:jc w:val="both"/>
        <w:textAlignment w:val="auto"/>
        <w:rPr>
          <w:rFonts w:hint="eastAsia" w:ascii="仿宋_GB2312" w:hAnsi="仿宋" w:eastAsia="仿宋_GB2312" w:cs="Tahoma"/>
          <w:b/>
          <w:bCs/>
          <w:color w:val="auto"/>
          <w:kern w:val="2"/>
          <w:sz w:val="32"/>
          <w:szCs w:val="32"/>
          <w:lang w:val="en-US" w:eastAsia="zh-CN" w:bidi="ar-SA"/>
        </w:rPr>
      </w:pPr>
      <w:r>
        <w:rPr>
          <w:rFonts w:hint="eastAsia" w:ascii="仿宋_GB2312" w:hAnsi="仿宋" w:eastAsia="仿宋_GB2312" w:cs="Tahoma"/>
          <w:b/>
          <w:bCs/>
          <w:color w:val="auto"/>
          <w:kern w:val="2"/>
          <w:sz w:val="32"/>
          <w:szCs w:val="32"/>
          <w:lang w:val="en-US" w:eastAsia="zh-CN" w:bidi="ar-SA"/>
        </w:rPr>
        <w:t>8.推动绿色发展，显著改善生态环境</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0"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color w:val="auto"/>
          <w:kern w:val="2"/>
          <w:sz w:val="32"/>
          <w:szCs w:val="32"/>
          <w:lang w:val="en-US" w:eastAsia="zh-CN" w:bidi="ar-SA"/>
        </w:rPr>
        <w:t>为持续改善环境质量，深入实施可持续发展战略，巩固蓝天、碧水、净土保卫战成果,促进生产生活方式绿色转型。2025年县财政共投入污染防治资金16937.68万元，其中空气污染防治资金5660.15万元，全面提升了我县大气污染管控的综合能力；拨付污水治理专项资金5667.02万元，用于生活污水治理工程建设，有效提高了我县污水处理能力，推动我县环境治理工作再上新台阶。</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2" w:firstLineChars="200"/>
        <w:jc w:val="both"/>
        <w:textAlignment w:val="auto"/>
        <w:rPr>
          <w:rFonts w:hint="eastAsia" w:ascii="仿宋_GB2312" w:hAnsi="仿宋" w:eastAsia="仿宋_GB2312" w:cs="Tahoma"/>
          <w:b/>
          <w:bCs/>
          <w:color w:val="auto"/>
          <w:kern w:val="2"/>
          <w:sz w:val="32"/>
          <w:szCs w:val="32"/>
          <w:lang w:val="en-US" w:eastAsia="zh-CN" w:bidi="ar-SA"/>
        </w:rPr>
      </w:pPr>
      <w:r>
        <w:rPr>
          <w:rFonts w:hint="eastAsia" w:ascii="仿宋_GB2312" w:hAnsi="仿宋" w:eastAsia="仿宋_GB2312" w:cs="Tahoma"/>
          <w:b/>
          <w:bCs/>
          <w:color w:val="auto"/>
          <w:kern w:val="2"/>
          <w:sz w:val="32"/>
          <w:szCs w:val="32"/>
          <w:lang w:val="en-US" w:eastAsia="zh-CN" w:bidi="ar-SA"/>
        </w:rPr>
        <w:t>9.加强资产管理，提高资产盘活效益</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0"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color w:val="auto"/>
          <w:kern w:val="2"/>
          <w:sz w:val="32"/>
          <w:szCs w:val="32"/>
          <w:lang w:val="en-US" w:eastAsia="zh-CN" w:bidi="ar-SA"/>
        </w:rPr>
        <w:t>全面梳理政府股权投资隶属关系及投资金额，纳入财政总会计核算。对以前年度取得但尚未纳入财政总会计核算的股权投资进行确认并补登入账，累计确认政府股权投资16818万元，完整准确反映了政府股权投资情况。</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0"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color w:val="auto"/>
          <w:kern w:val="2"/>
          <w:sz w:val="32"/>
          <w:szCs w:val="32"/>
          <w:lang w:val="en-US" w:eastAsia="zh-CN" w:bidi="ar-SA"/>
        </w:rPr>
        <w:t>我县通过优化单位在用资产管理、推进资产共享共用、加强资产调剂、开展资产出租及市场化处置、探索资产集中运营管理等方式提高国有资产使用效益，有效盘活闲置低效资产。2025年度我县盘活国有资产原值合计259165元，其中通过无偿划转盘活车辆一辆，账面原值116900元；通过榆林市公共资源交易中心电子交易系统盘活资产（水泵、垃圾桶、暖气片等）217件，账面原值142265元，盘活收入4023元，已全额上缴国库。</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2" w:firstLineChars="200"/>
        <w:jc w:val="both"/>
        <w:textAlignment w:val="auto"/>
        <w:rPr>
          <w:rFonts w:hint="eastAsia" w:ascii="楷体_GB2312" w:hAnsi="楷体_GB2312" w:eastAsia="楷体_GB2312" w:cs="楷体_GB2312"/>
          <w:b/>
          <w:bCs/>
          <w:color w:val="auto"/>
          <w:w w:val="100"/>
          <w:kern w:val="0"/>
          <w:sz w:val="32"/>
          <w:szCs w:val="32"/>
          <w:shd w:val="clear"/>
          <w:lang w:val="en-US" w:eastAsia="zh-CN"/>
        </w:rPr>
      </w:pPr>
      <w:r>
        <w:rPr>
          <w:rFonts w:hint="eastAsia" w:ascii="楷体_GB2312" w:hAnsi="楷体_GB2312" w:eastAsia="楷体_GB2312" w:cs="楷体_GB2312"/>
          <w:b/>
          <w:bCs/>
          <w:color w:val="auto"/>
          <w:w w:val="100"/>
          <w:kern w:val="0"/>
          <w:sz w:val="32"/>
          <w:szCs w:val="32"/>
          <w:shd w:val="clear"/>
          <w:lang w:val="en-US" w:eastAsia="zh-CN"/>
        </w:rPr>
        <w:t>（九）存在的问题</w:t>
      </w:r>
    </w:p>
    <w:p>
      <w:pPr>
        <w:pStyle w:val="11"/>
        <w:keepNext w:val="0"/>
        <w:keepLines w:val="0"/>
        <w:pageBreakBefore w:val="0"/>
        <w:kinsoku/>
        <w:wordWrap/>
        <w:overflowPunct/>
        <w:autoSpaceDE/>
        <w:autoSpaceDN/>
        <w:bidi w:val="0"/>
        <w:spacing w:before="0" w:beforeAutospacing="0" w:after="0" w:afterAutospacing="0" w:line="600" w:lineRule="exact"/>
        <w:ind w:left="0" w:leftChars="0" w:firstLine="642" w:firstLineChars="200"/>
        <w:jc w:val="both"/>
        <w:textAlignment w:val="auto"/>
        <w:rPr>
          <w:rFonts w:hint="eastAsia" w:ascii="仿宋_GB2312" w:hAnsi="仿宋" w:eastAsia="仿宋_GB2312" w:cs="Tahoma"/>
          <w:color w:val="auto"/>
          <w:kern w:val="2"/>
          <w:sz w:val="32"/>
          <w:szCs w:val="32"/>
          <w:lang w:val="en-US" w:eastAsia="zh-CN" w:bidi="ar-SA"/>
        </w:rPr>
      </w:pPr>
      <w:r>
        <w:rPr>
          <w:rFonts w:hint="eastAsia" w:ascii="仿宋_GB2312" w:hAnsi="仿宋" w:eastAsia="仿宋_GB2312" w:cs="Tahoma"/>
          <w:b/>
          <w:bCs/>
          <w:color w:val="auto"/>
          <w:kern w:val="2"/>
          <w:sz w:val="32"/>
          <w:szCs w:val="32"/>
          <w:lang w:val="en-US" w:eastAsia="zh-CN" w:bidi="ar-SA"/>
        </w:rPr>
        <w:t>一是</w:t>
      </w:r>
      <w:r>
        <w:rPr>
          <w:rFonts w:hint="eastAsia" w:ascii="仿宋_GB2312" w:hAnsi="仿宋" w:eastAsia="仿宋_GB2312" w:cs="Tahoma"/>
          <w:color w:val="auto"/>
          <w:kern w:val="2"/>
          <w:sz w:val="32"/>
          <w:szCs w:val="32"/>
          <w:lang w:val="en-US" w:eastAsia="zh-CN" w:bidi="ar-SA"/>
        </w:rPr>
        <w:t>财政收支矛盾突出，收入方面受经济增长放缓、减税降费政策持续影响，财政收入增长面临较大压力，增收空间有限。而在支出方面，民生保障、基础设施建设、债务还本付息等刚性支出需求不断增加，导致财政收支矛盾日益尖锐，财政平衡压力巨大。尤其是基础设施建设领域，要求县级资金配套比列过高，县财政难以承受，有利于推动县域经济发展重大项目难以落地开工。</w:t>
      </w:r>
      <w:r>
        <w:rPr>
          <w:rFonts w:hint="eastAsia" w:ascii="仿宋_GB2312" w:hAnsi="仿宋" w:eastAsia="仿宋_GB2312" w:cs="Tahoma"/>
          <w:b/>
          <w:bCs/>
          <w:color w:val="auto"/>
          <w:kern w:val="2"/>
          <w:sz w:val="32"/>
          <w:szCs w:val="32"/>
          <w:lang w:val="en-US" w:eastAsia="zh-CN" w:bidi="ar-SA"/>
        </w:rPr>
        <w:t>二是</w:t>
      </w:r>
      <w:r>
        <w:rPr>
          <w:rFonts w:hint="eastAsia" w:ascii="仿宋_GB2312" w:hAnsi="仿宋" w:eastAsia="仿宋_GB2312" w:cs="Tahoma"/>
          <w:color w:val="auto"/>
          <w:kern w:val="2"/>
          <w:sz w:val="32"/>
          <w:szCs w:val="32"/>
          <w:lang w:val="en-US" w:eastAsia="zh-CN" w:bidi="ar-SA"/>
        </w:rPr>
        <w:t>保运转方面，我县近年来认真贯彻落实省市财政工作要求，牢固树立过“紧日子”思想，进一步优化支出结构，严格控制“三公”经费等一般性支出，坚持压减非刚性、非重点支出。由于县级财力有限，运转经费测算基数常年维持在较低水平，加之逐年压缩一般性支出规模，压减空间已经十分有限，县级各部门运转承受能力接近“探底”，继续压缩将无法保障单位正常运转，对“保运转”构成风险隐患。</w:t>
      </w:r>
      <w:r>
        <w:rPr>
          <w:rFonts w:hint="eastAsia" w:ascii="仿宋_GB2312" w:hAnsi="仿宋" w:eastAsia="仿宋_GB2312" w:cs="Tahoma"/>
          <w:b/>
          <w:bCs/>
          <w:color w:val="auto"/>
          <w:kern w:val="2"/>
          <w:sz w:val="32"/>
          <w:szCs w:val="32"/>
          <w:lang w:val="en-US" w:eastAsia="zh-CN" w:bidi="ar-SA"/>
        </w:rPr>
        <w:t>三是</w:t>
      </w:r>
      <w:r>
        <w:rPr>
          <w:rFonts w:hint="eastAsia" w:ascii="仿宋_GB2312" w:hAnsi="仿宋" w:eastAsia="仿宋_GB2312" w:cs="Tahoma"/>
          <w:color w:val="auto"/>
          <w:kern w:val="2"/>
          <w:sz w:val="32"/>
          <w:szCs w:val="32"/>
          <w:lang w:val="en-US" w:eastAsia="zh-CN" w:bidi="ar-SA"/>
        </w:rPr>
        <w:t>保工资方面，我县目前机关事业单位养老保险和职业年金缴费形成收支差额巨大，难以弥补，经推算，2021年至2025年我县机关事业单位养老保险收支缺口已接近6亿元，虽然引起了上级部门的高度重视，并且通过补助的形式给予一定程度的弥补，但是资金缺口过于庞大，不能从根本上解决该项问题。</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二、</w:t>
      </w:r>
      <w:r>
        <w:rPr>
          <w:rFonts w:ascii="黑体" w:hAnsi="黑体" w:eastAsia="黑体" w:cs="黑体"/>
          <w:color w:val="auto"/>
          <w:kern w:val="0"/>
          <w:sz w:val="32"/>
          <w:szCs w:val="32"/>
        </w:rPr>
        <w:t>202</w:t>
      </w:r>
      <w:r>
        <w:rPr>
          <w:rFonts w:hint="eastAsia" w:ascii="黑体" w:hAnsi="黑体" w:eastAsia="黑体" w:cs="黑体"/>
          <w:color w:val="auto"/>
          <w:kern w:val="0"/>
          <w:sz w:val="32"/>
          <w:szCs w:val="32"/>
          <w:lang w:val="en-US" w:eastAsia="zh-CN"/>
        </w:rPr>
        <w:t>6</w:t>
      </w:r>
      <w:r>
        <w:rPr>
          <w:rFonts w:hint="eastAsia" w:ascii="黑体" w:hAnsi="黑体" w:eastAsia="黑体" w:cs="黑体"/>
          <w:color w:val="auto"/>
          <w:kern w:val="0"/>
          <w:sz w:val="32"/>
          <w:szCs w:val="32"/>
        </w:rPr>
        <w:t>年预算安排</w:t>
      </w:r>
    </w:p>
    <w:p>
      <w:pPr>
        <w:keepNext w:val="0"/>
        <w:keepLines w:val="0"/>
        <w:pageBreakBefore w:val="0"/>
        <w:widowControl w:val="0"/>
        <w:numPr>
          <w:ilvl w:val="0"/>
          <w:numId w:val="0"/>
        </w:numPr>
        <w:pBdr>
          <w:bottom w:val="single" w:color="FFFFFF" w:sz="4" w:space="31"/>
        </w:pBdr>
        <w:shd w:val="clear" w:color="auto" w:fill="FFFFFF"/>
        <w:tabs>
          <w:tab w:val="left" w:pos="7020"/>
          <w:tab w:val="left" w:pos="7380"/>
        </w:tabs>
        <w:kinsoku/>
        <w:wordWrap/>
        <w:overflowPunct/>
        <w:topLinePunct w:val="0"/>
        <w:autoSpaceDE/>
        <w:autoSpaceDN/>
        <w:bidi w:val="0"/>
        <w:adjustRightInd/>
        <w:snapToGrid w:val="0"/>
        <w:spacing w:line="600" w:lineRule="exact"/>
        <w:ind w:firstLine="640" w:firstLineChars="200"/>
        <w:textAlignment w:val="auto"/>
        <w:rPr>
          <w:rFonts w:hint="default" w:ascii="仿宋_GB2312" w:hAnsi="仿宋" w:eastAsia="仿宋_GB2312" w:cs="Tahoma"/>
          <w:color w:val="auto"/>
          <w:sz w:val="32"/>
          <w:szCs w:val="32"/>
          <w:lang w:val="en-US" w:eastAsia="zh-CN"/>
        </w:rPr>
      </w:pPr>
      <w:r>
        <w:rPr>
          <w:rFonts w:hint="eastAsia" w:ascii="仿宋_GB2312" w:hAnsi="仿宋" w:eastAsia="仿宋_GB2312" w:cs="Tahoma"/>
          <w:color w:val="auto"/>
          <w:sz w:val="32"/>
          <w:szCs w:val="32"/>
          <w:lang w:val="en-US" w:eastAsia="zh-CN"/>
        </w:rPr>
        <w:t>2026年，县财政部门将继续</w:t>
      </w:r>
      <w:r>
        <w:rPr>
          <w:rFonts w:hint="eastAsia" w:ascii="仿宋_GB2312" w:hAnsi="仿宋_GB2312" w:eastAsia="仿宋_GB2312" w:cs="仿宋_GB2312"/>
          <w:color w:val="auto"/>
          <w:sz w:val="32"/>
          <w:szCs w:val="32"/>
          <w:highlight w:val="none"/>
          <w:lang w:val="en-US" w:eastAsia="zh-CN"/>
        </w:rPr>
        <w:t>坚持以习近平新时代中国特色社会主义思想为指导，全面贯彻落实党的二十大和二十届历次全会精神及习近平总书记历次来陕考察重要讲话重要指示精神，认真落实中央、省市决策部署以及县委、县政府工作要求，坚持稳中求进总基调，全面贯彻新发展理念，落实更加积极的财政政策，牢固树立过“紧日子”</w:t>
      </w:r>
      <w:r>
        <w:rPr>
          <w:rFonts w:hint="eastAsia" w:ascii="仿宋_GB2312" w:hAnsi="仿宋" w:eastAsia="仿宋_GB2312" w:cs="Tahoma"/>
          <w:color w:val="auto"/>
          <w:sz w:val="32"/>
          <w:szCs w:val="32"/>
          <w:lang w:val="en-US" w:eastAsia="zh-CN"/>
        </w:rPr>
        <w:t>思想，深化零基预算改革，统筹稳增长、兜“三保”、防风险、促改革，优化支出结构，提升资金绩效，为全县经济社会高质量发展提供坚实财政保障。</w:t>
      </w:r>
    </w:p>
    <w:p>
      <w:pPr>
        <w:keepNext w:val="0"/>
        <w:keepLines w:val="0"/>
        <w:pageBreakBefore w:val="0"/>
        <w:widowControl w:val="0"/>
        <w:numPr>
          <w:ilvl w:val="0"/>
          <w:numId w:val="0"/>
        </w:numPr>
        <w:pBdr>
          <w:bottom w:val="single" w:color="FFFFFF" w:sz="4" w:space="31"/>
        </w:pBdr>
        <w:shd w:val="clear" w:color="auto" w:fill="FFFFFF"/>
        <w:tabs>
          <w:tab w:val="left" w:pos="7020"/>
          <w:tab w:val="left" w:pos="738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cs="Tahoma"/>
          <w:color w:val="auto"/>
          <w:sz w:val="32"/>
          <w:szCs w:val="32"/>
          <w:lang w:val="en-US" w:eastAsia="zh-CN"/>
        </w:rPr>
      </w:pPr>
      <w:r>
        <w:rPr>
          <w:rFonts w:hint="eastAsia" w:ascii="仿宋_GB2312" w:hAnsi="仿宋" w:eastAsia="仿宋_GB2312" w:cs="Tahoma"/>
          <w:color w:val="auto"/>
          <w:sz w:val="32"/>
          <w:szCs w:val="32"/>
          <w:lang w:val="en-US" w:eastAsia="zh-CN"/>
        </w:rPr>
        <w:t>预算安排：2026年，经济运行的不稳定不确定因素较多，我县财源有限，财政收入仍有可能波动和起伏，确保“三保”、乡村振兴、民生保障等重点支出和刚性支出压力较大。故2026年度财政预算安排的大致思路为：</w:t>
      </w:r>
    </w:p>
    <w:p>
      <w:pPr>
        <w:keepNext w:val="0"/>
        <w:keepLines w:val="0"/>
        <w:pageBreakBefore w:val="0"/>
        <w:numPr>
          <w:ilvl w:val="0"/>
          <w:numId w:val="0"/>
        </w:numPr>
        <w:pBdr>
          <w:bottom w:val="single" w:color="FFFFFF" w:sz="4" w:space="31"/>
        </w:pBdr>
        <w:shd w:val="clear" w:color="auto" w:fill="FFFFFF"/>
        <w:tabs>
          <w:tab w:val="left" w:pos="7020"/>
          <w:tab w:val="left" w:pos="7380"/>
        </w:tabs>
        <w:kinsoku/>
        <w:wordWrap/>
        <w:overflowPunct/>
        <w:topLinePunct w:val="0"/>
        <w:autoSpaceDE/>
        <w:autoSpaceDN/>
        <w:bidi w:val="0"/>
        <w:adjustRightInd/>
        <w:snapToGrid w:val="0"/>
        <w:spacing w:line="600" w:lineRule="exact"/>
        <w:ind w:firstLine="642" w:firstLineChars="200"/>
        <w:textAlignment w:val="auto"/>
        <w:rPr>
          <w:rFonts w:hint="eastAsia" w:ascii="仿宋_GB2312" w:hAnsi="仿宋" w:eastAsia="仿宋_GB2312" w:cs="Tahoma"/>
          <w:color w:val="auto"/>
          <w:sz w:val="32"/>
          <w:szCs w:val="32"/>
          <w:lang w:val="en-US" w:eastAsia="zh-CN"/>
        </w:rPr>
      </w:pPr>
      <w:r>
        <w:rPr>
          <w:rFonts w:hint="eastAsia" w:ascii="仿宋_GB2312" w:hAnsi="仿宋" w:eastAsia="仿宋_GB2312" w:cs="Tahoma"/>
          <w:b/>
          <w:bCs/>
          <w:color w:val="auto"/>
          <w:sz w:val="32"/>
          <w:szCs w:val="32"/>
          <w:lang w:val="en-US" w:eastAsia="zh-CN"/>
        </w:rPr>
        <w:t>一是</w:t>
      </w:r>
      <w:r>
        <w:rPr>
          <w:rFonts w:hint="eastAsia" w:ascii="仿宋_GB2312" w:hAnsi="仿宋" w:eastAsia="仿宋_GB2312" w:cs="Tahoma"/>
          <w:color w:val="auto"/>
          <w:sz w:val="32"/>
          <w:szCs w:val="32"/>
          <w:lang w:val="en-US" w:eastAsia="zh-CN"/>
        </w:rPr>
        <w:t>2026年一般公共预算收入目标8106万元，一般公共预算支出安排</w:t>
      </w:r>
      <w:r>
        <w:rPr>
          <w:rFonts w:hint="eastAsia" w:ascii="仿宋_GB2312" w:hAnsi="仿宋" w:eastAsia="仿宋_GB2312" w:cs="Tahoma"/>
          <w:color w:val="auto"/>
          <w:sz w:val="32"/>
          <w:szCs w:val="32"/>
        </w:rPr>
        <w:t>338783</w:t>
      </w:r>
      <w:r>
        <w:rPr>
          <w:rFonts w:hint="eastAsia" w:ascii="仿宋_GB2312" w:hAnsi="仿宋" w:eastAsia="仿宋_GB2312" w:cs="Tahoma"/>
          <w:color w:val="auto"/>
          <w:sz w:val="32"/>
          <w:szCs w:val="32"/>
          <w:lang w:val="en-US" w:eastAsia="zh-CN"/>
        </w:rPr>
        <w:t>万元。</w:t>
      </w:r>
      <w:r>
        <w:rPr>
          <w:rFonts w:hint="eastAsia" w:ascii="仿宋_GB2312" w:hAnsi="仿宋" w:eastAsia="仿宋_GB2312" w:cs="Tahoma"/>
          <w:b/>
          <w:bCs/>
          <w:color w:val="auto"/>
          <w:sz w:val="32"/>
          <w:szCs w:val="32"/>
          <w:lang w:val="en-US" w:eastAsia="zh-CN"/>
        </w:rPr>
        <w:t>二是</w:t>
      </w:r>
      <w:r>
        <w:rPr>
          <w:rFonts w:hint="eastAsia" w:ascii="仿宋_GB2312" w:hAnsi="仿宋" w:eastAsia="仿宋_GB2312" w:cs="Tahoma"/>
          <w:color w:val="auto"/>
          <w:sz w:val="32"/>
          <w:szCs w:val="32"/>
          <w:lang w:val="en-US" w:eastAsia="zh-CN"/>
        </w:rPr>
        <w:t>严格预算管理，科学核定预算、精准编制预算，优先“保民生、保工资、保运转”。</w:t>
      </w:r>
      <w:r>
        <w:rPr>
          <w:rFonts w:hint="eastAsia" w:ascii="仿宋_GB2312" w:hAnsi="仿宋" w:eastAsia="仿宋_GB2312" w:cs="Tahoma"/>
          <w:b/>
          <w:bCs/>
          <w:color w:val="auto"/>
          <w:sz w:val="32"/>
          <w:szCs w:val="32"/>
          <w:lang w:val="en-US" w:eastAsia="zh-CN"/>
        </w:rPr>
        <w:t>三是</w:t>
      </w:r>
      <w:r>
        <w:rPr>
          <w:rFonts w:hint="eastAsia" w:ascii="仿宋_GB2312" w:hAnsi="仿宋" w:eastAsia="仿宋_GB2312" w:cs="Tahoma"/>
          <w:color w:val="auto"/>
          <w:sz w:val="32"/>
          <w:szCs w:val="32"/>
          <w:lang w:val="en-US" w:eastAsia="zh-CN"/>
        </w:rPr>
        <w:t>全面深化零基预算改革，优化支出结构，以“零基思维”重构预算管理，打破固化、聚焦重点、绩效导向，让每一分财政资金都用在刀刃上。</w:t>
      </w:r>
    </w:p>
    <w:p>
      <w:pPr>
        <w:keepNext w:val="0"/>
        <w:keepLines w:val="0"/>
        <w:pageBreakBefore w:val="0"/>
        <w:numPr>
          <w:ilvl w:val="0"/>
          <w:numId w:val="0"/>
        </w:numPr>
        <w:pBdr>
          <w:bottom w:val="single" w:color="FFFFFF" w:sz="4" w:space="31"/>
        </w:pBdr>
        <w:shd w:val="clear" w:color="auto" w:fill="FFFFFF"/>
        <w:tabs>
          <w:tab w:val="left" w:pos="7020"/>
          <w:tab w:val="left" w:pos="7380"/>
        </w:tabs>
        <w:kinsoku/>
        <w:wordWrap/>
        <w:overflowPunct/>
        <w:topLinePunct w:val="0"/>
        <w:autoSpaceDE/>
        <w:autoSpaceDN/>
        <w:bidi w:val="0"/>
        <w:adjustRightInd/>
        <w:snapToGrid w:val="0"/>
        <w:spacing w:line="600" w:lineRule="exact"/>
        <w:ind w:firstLine="642" w:firstLineChars="200"/>
        <w:textAlignment w:val="auto"/>
        <w:rPr>
          <w:rFonts w:hint="eastAsia" w:ascii="楷体_GB2312" w:hAnsi="楷体_GB2312" w:eastAsia="楷体_GB2312" w:cs="楷体_GB2312"/>
          <w:b/>
          <w:bCs/>
          <w:color w:val="auto"/>
          <w:w w:val="100"/>
          <w:kern w:val="0"/>
          <w:sz w:val="32"/>
          <w:szCs w:val="32"/>
          <w:shd w:val="clear"/>
          <w:lang w:val="en-US" w:eastAsia="zh-CN"/>
        </w:rPr>
      </w:pPr>
      <w:r>
        <w:rPr>
          <w:rFonts w:hint="eastAsia" w:ascii="楷体_GB2312" w:hAnsi="楷体_GB2312" w:eastAsia="楷体_GB2312" w:cs="楷体_GB2312"/>
          <w:b/>
          <w:bCs/>
          <w:color w:val="auto"/>
          <w:w w:val="100"/>
          <w:kern w:val="0"/>
          <w:sz w:val="32"/>
          <w:szCs w:val="32"/>
          <w:shd w:val="clear"/>
          <w:lang w:val="en-US" w:eastAsia="zh-CN"/>
        </w:rPr>
        <w:t>（一）2026年一般公共预算安排</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bCs/>
          <w:color w:val="auto"/>
          <w:sz w:val="32"/>
          <w:szCs w:val="32"/>
          <w:lang w:val="en-US" w:eastAsia="zh-CN"/>
        </w:rPr>
      </w:pPr>
      <w:r>
        <w:rPr>
          <w:rFonts w:hint="eastAsia" w:ascii="仿宋_GB2312" w:hAnsi="仿宋" w:eastAsia="仿宋_GB2312" w:cs="Tahoma"/>
          <w:color w:val="auto"/>
          <w:sz w:val="32"/>
          <w:szCs w:val="32"/>
        </w:rPr>
        <w:t>按照上述指导思想与全县经济和社会发展规划，综合考虑经济和社会发展因素，</w:t>
      </w:r>
      <w:r>
        <w:rPr>
          <w:rFonts w:hint="eastAsia" w:ascii="仿宋_GB2312" w:hAnsi="仿宋" w:eastAsia="仿宋_GB2312" w:cs="Tahoma"/>
          <w:b w:val="0"/>
          <w:bCs w:val="0"/>
          <w:color w:val="auto"/>
          <w:sz w:val="32"/>
          <w:szCs w:val="32"/>
          <w:lang w:val="en-US" w:eastAsia="zh-CN"/>
        </w:rPr>
        <w:t>预计</w:t>
      </w:r>
      <w:r>
        <w:rPr>
          <w:rFonts w:ascii="仿宋_GB2312" w:hAnsi="仿宋" w:eastAsia="仿宋_GB2312" w:cs="Tahoma"/>
          <w:b w:val="0"/>
          <w:bCs w:val="0"/>
          <w:color w:val="auto"/>
          <w:sz w:val="32"/>
          <w:szCs w:val="32"/>
        </w:rPr>
        <w:t>202</w:t>
      </w:r>
      <w:r>
        <w:rPr>
          <w:rFonts w:hint="eastAsia" w:ascii="仿宋_GB2312" w:hAnsi="仿宋" w:eastAsia="仿宋_GB2312" w:cs="Tahoma"/>
          <w:b w:val="0"/>
          <w:bCs w:val="0"/>
          <w:color w:val="auto"/>
          <w:sz w:val="32"/>
          <w:szCs w:val="32"/>
          <w:lang w:val="en-US" w:eastAsia="zh-CN"/>
        </w:rPr>
        <w:t>6</w:t>
      </w:r>
      <w:r>
        <w:rPr>
          <w:rFonts w:hint="eastAsia" w:ascii="仿宋_GB2312" w:hAnsi="仿宋" w:eastAsia="仿宋_GB2312" w:cs="Tahoma"/>
          <w:b w:val="0"/>
          <w:bCs w:val="0"/>
          <w:color w:val="auto"/>
          <w:sz w:val="32"/>
          <w:szCs w:val="32"/>
        </w:rPr>
        <w:t>年财政收入</w:t>
      </w:r>
      <w:r>
        <w:rPr>
          <w:rFonts w:hint="eastAsia" w:ascii="仿宋_GB2312" w:hAnsi="仿宋" w:eastAsia="仿宋_GB2312" w:cs="Tahoma"/>
          <w:b w:val="0"/>
          <w:bCs w:val="0"/>
          <w:color w:val="auto"/>
          <w:sz w:val="32"/>
          <w:szCs w:val="32"/>
          <w:lang w:val="en-US" w:eastAsia="zh-CN"/>
        </w:rPr>
        <w:t>总计为368005</w:t>
      </w:r>
      <w:r>
        <w:rPr>
          <w:rFonts w:hint="eastAsia" w:ascii="仿宋_GB2312" w:hAnsi="仿宋" w:eastAsia="仿宋_GB2312" w:cs="Tahoma"/>
          <w:b w:val="0"/>
          <w:bCs w:val="0"/>
          <w:color w:val="auto"/>
          <w:sz w:val="32"/>
          <w:szCs w:val="32"/>
        </w:rPr>
        <w:t>万</w:t>
      </w:r>
      <w:r>
        <w:rPr>
          <w:rFonts w:hint="eastAsia" w:ascii="仿宋" w:hAnsi="仿宋" w:eastAsia="仿宋" w:cs="仿宋"/>
          <w:b w:val="0"/>
          <w:bCs w:val="0"/>
          <w:color w:val="auto"/>
          <w:sz w:val="32"/>
          <w:szCs w:val="32"/>
        </w:rPr>
        <w:t>元</w:t>
      </w:r>
      <w:r>
        <w:rPr>
          <w:rFonts w:hint="eastAsia" w:ascii="仿宋" w:hAnsi="仿宋" w:eastAsia="仿宋" w:cs="仿宋"/>
          <w:b w:val="0"/>
          <w:bCs w:val="0"/>
          <w:color w:val="auto"/>
          <w:sz w:val="32"/>
          <w:szCs w:val="32"/>
          <w:lang w:eastAsia="zh-CN"/>
        </w:rPr>
        <w:t>。</w:t>
      </w:r>
    </w:p>
    <w:p>
      <w:pPr>
        <w:keepNext w:val="0"/>
        <w:keepLines w:val="0"/>
        <w:pageBreakBefore w:val="0"/>
        <w:numPr>
          <w:ilvl w:val="0"/>
          <w:numId w:val="0"/>
        </w:numPr>
        <w:pBdr>
          <w:bottom w:val="single" w:color="FFFFFF" w:sz="4" w:space="31"/>
        </w:pBdr>
        <w:shd w:val="clear" w:color="auto" w:fill="FFFFFF"/>
        <w:tabs>
          <w:tab w:val="left" w:pos="7020"/>
          <w:tab w:val="left" w:pos="7380"/>
        </w:tabs>
        <w:kinsoku/>
        <w:wordWrap/>
        <w:overflowPunct/>
        <w:topLinePunct w:val="0"/>
        <w:autoSpaceDE/>
        <w:autoSpaceDN/>
        <w:bidi w:val="0"/>
        <w:adjustRightInd/>
        <w:snapToGrid w:val="0"/>
        <w:spacing w:line="600" w:lineRule="exact"/>
        <w:ind w:firstLine="642" w:firstLineChars="200"/>
        <w:textAlignment w:val="auto"/>
        <w:rPr>
          <w:rFonts w:hint="default" w:ascii="仿宋_GB2312" w:hAnsi="仿宋" w:eastAsia="仿宋_GB2312" w:cs="Tahoma"/>
          <w:b/>
          <w:bCs/>
          <w:color w:val="auto"/>
          <w:sz w:val="32"/>
          <w:szCs w:val="32"/>
          <w:lang w:val="en-US" w:eastAsia="zh-CN"/>
        </w:rPr>
      </w:pPr>
      <w:r>
        <w:rPr>
          <w:rFonts w:hint="eastAsia" w:ascii="仿宋_GB2312" w:hAnsi="仿宋" w:eastAsia="仿宋_GB2312" w:cs="Tahoma"/>
          <w:b/>
          <w:bCs/>
          <w:color w:val="auto"/>
          <w:sz w:val="32"/>
          <w:szCs w:val="32"/>
          <w:lang w:val="en-US" w:eastAsia="zh-CN"/>
        </w:rPr>
        <w:t>1.2026年一般公共预算主要收入项目安排</w:t>
      </w:r>
    </w:p>
    <w:p>
      <w:pPr>
        <w:keepNext w:val="0"/>
        <w:keepLines w:val="0"/>
        <w:pageBreakBefore w:val="0"/>
        <w:numPr>
          <w:ilvl w:val="0"/>
          <w:numId w:val="0"/>
        </w:numPr>
        <w:pBdr>
          <w:bottom w:val="single" w:color="FFFFFF" w:sz="4" w:space="31"/>
        </w:pBdr>
        <w:shd w:val="clear" w:color="auto" w:fill="FFFFFF"/>
        <w:tabs>
          <w:tab w:val="left" w:pos="7020"/>
          <w:tab w:val="left" w:pos="7380"/>
        </w:tabs>
        <w:kinsoku/>
        <w:wordWrap/>
        <w:overflowPunct/>
        <w:topLinePunct w:val="0"/>
        <w:autoSpaceDE/>
        <w:autoSpaceDN/>
        <w:bidi w:val="0"/>
        <w:adjustRightInd/>
        <w:snapToGrid w:val="0"/>
        <w:spacing w:line="600" w:lineRule="exact"/>
        <w:ind w:firstLine="642" w:firstLineChars="200"/>
        <w:textAlignment w:val="auto"/>
        <w:rPr>
          <w:rFonts w:hint="eastAsia" w:ascii="仿宋_GB2312" w:hAnsi="仿宋" w:eastAsia="仿宋_GB2312" w:cs="Tahoma"/>
          <w:b/>
          <w:bCs/>
          <w:color w:val="auto"/>
          <w:sz w:val="32"/>
          <w:szCs w:val="32"/>
          <w:lang w:val="en-US" w:eastAsia="zh-CN"/>
        </w:rPr>
      </w:pPr>
      <w:r>
        <w:rPr>
          <w:rFonts w:hint="eastAsia" w:ascii="仿宋_GB2312" w:hAnsi="仿宋" w:eastAsia="仿宋_GB2312" w:cs="Tahoma"/>
          <w:b/>
          <w:bCs/>
          <w:color w:val="auto"/>
          <w:sz w:val="32"/>
          <w:szCs w:val="32"/>
          <w:lang w:val="en-US" w:eastAsia="zh-CN"/>
        </w:rPr>
        <w:t>本级一般公共预算收入完成8106万元（税收收入完成3796万元，非税收入完成4310万元）</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olor w:val="auto"/>
          <w:sz w:val="32"/>
          <w:szCs w:val="32"/>
          <w:lang w:eastAsia="zh-CN"/>
        </w:rPr>
      </w:pPr>
      <w:r>
        <w:rPr>
          <w:rFonts w:hint="eastAsia" w:ascii="楷体" w:hAnsi="楷体" w:eastAsia="楷体" w:cs="楷体"/>
          <w:color w:val="auto"/>
          <w:sz w:val="32"/>
          <w:szCs w:val="32"/>
        </w:rPr>
        <w:t>税收收入完成</w:t>
      </w:r>
      <w:r>
        <w:rPr>
          <w:rFonts w:hint="eastAsia" w:ascii="楷体" w:hAnsi="楷体" w:eastAsia="楷体" w:cs="楷体"/>
          <w:color w:val="auto"/>
          <w:sz w:val="32"/>
          <w:szCs w:val="32"/>
          <w:lang w:val="en-US" w:eastAsia="zh-CN"/>
        </w:rPr>
        <w:t>3796</w:t>
      </w:r>
      <w:r>
        <w:rPr>
          <w:rFonts w:hint="eastAsia" w:ascii="楷体" w:hAnsi="楷体" w:eastAsia="楷体" w:cs="楷体"/>
          <w:color w:val="auto"/>
          <w:sz w:val="32"/>
          <w:szCs w:val="32"/>
        </w:rPr>
        <w:t>万元，</w:t>
      </w:r>
      <w:r>
        <w:rPr>
          <w:rFonts w:hint="eastAsia" w:ascii="仿宋_GB2312" w:hAnsi="仿宋" w:eastAsia="仿宋_GB2312"/>
          <w:color w:val="auto"/>
          <w:sz w:val="32"/>
          <w:szCs w:val="32"/>
        </w:rPr>
        <w:t>其中</w:t>
      </w:r>
      <w:r>
        <w:rPr>
          <w:rFonts w:hint="eastAsia" w:ascii="仿宋_GB2312" w:hAnsi="仿宋" w:eastAsia="仿宋_GB2312"/>
          <w:color w:val="auto"/>
          <w:sz w:val="32"/>
          <w:szCs w:val="32"/>
          <w:lang w:eastAsia="zh-CN"/>
        </w:rPr>
        <w:t>：</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增值税完成</w:t>
      </w:r>
      <w:r>
        <w:rPr>
          <w:rFonts w:ascii="仿宋_GB2312" w:hAnsi="仿宋" w:eastAsia="仿宋_GB2312"/>
          <w:color w:val="auto"/>
          <w:sz w:val="32"/>
          <w:szCs w:val="32"/>
        </w:rPr>
        <w:t xml:space="preserve">                            </w:t>
      </w:r>
      <w:r>
        <w:rPr>
          <w:rFonts w:hint="eastAsia" w:ascii="仿宋_GB2312" w:hAnsi="仿宋" w:eastAsia="仿宋_GB2312"/>
          <w:color w:val="auto"/>
          <w:sz w:val="32"/>
          <w:szCs w:val="32"/>
          <w:lang w:val="en-US" w:eastAsia="zh-CN"/>
        </w:rPr>
        <w:t xml:space="preserve">   </w:t>
      </w:r>
      <w:r>
        <w:rPr>
          <w:rFonts w:hint="eastAsia" w:ascii="仿宋" w:hAnsi="仿宋" w:eastAsia="仿宋" w:cs="仿宋"/>
          <w:color w:val="auto"/>
          <w:sz w:val="32"/>
          <w:szCs w:val="32"/>
          <w:lang w:val="en-US" w:eastAsia="zh-CN"/>
        </w:rPr>
        <w:t xml:space="preserve"> 2245</w:t>
      </w:r>
      <w:r>
        <w:rPr>
          <w:rFonts w:hint="eastAsia" w:ascii="仿宋_GB2312" w:hAnsi="仿宋" w:eastAsia="仿宋_GB2312"/>
          <w:color w:val="auto"/>
          <w:sz w:val="32"/>
          <w:szCs w:val="32"/>
        </w:rPr>
        <w:t>万元；</w:t>
      </w:r>
      <w:r>
        <w:rPr>
          <w:rFonts w:ascii="仿宋_GB2312" w:hAnsi="仿宋" w:eastAsia="仿宋_GB2312"/>
          <w:color w:val="auto"/>
          <w:sz w:val="32"/>
          <w:szCs w:val="32"/>
        </w:rPr>
        <w:t xml:space="preserve"> </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企业所得税完成</w:t>
      </w:r>
      <w:r>
        <w:rPr>
          <w:rFonts w:ascii="仿宋_GB2312" w:hAnsi="仿宋" w:eastAsia="仿宋_GB2312"/>
          <w:color w:val="auto"/>
          <w:sz w:val="32"/>
          <w:szCs w:val="32"/>
        </w:rPr>
        <w:t xml:space="preserve">                         </w:t>
      </w:r>
      <w:r>
        <w:rPr>
          <w:rFonts w:hint="eastAsia" w:ascii="仿宋_GB2312" w:hAnsi="仿宋" w:eastAsia="仿宋_GB2312"/>
          <w:color w:val="auto"/>
          <w:sz w:val="32"/>
          <w:szCs w:val="32"/>
          <w:lang w:val="en-US" w:eastAsia="zh-CN"/>
        </w:rPr>
        <w:t xml:space="preserve">  </w:t>
      </w:r>
      <w:r>
        <w:rPr>
          <w:rFonts w:hint="eastAsia" w:ascii="仿宋" w:hAnsi="仿宋" w:eastAsia="仿宋" w:cs="仿宋"/>
          <w:color w:val="auto"/>
          <w:sz w:val="32"/>
          <w:szCs w:val="32"/>
          <w:lang w:val="en-US" w:eastAsia="zh-CN"/>
        </w:rPr>
        <w:t xml:space="preserve">  195</w:t>
      </w:r>
      <w:r>
        <w:rPr>
          <w:rFonts w:hint="eastAsia" w:ascii="仿宋_GB2312" w:hAnsi="仿宋" w:eastAsia="仿宋_GB2312"/>
          <w:color w:val="auto"/>
          <w:sz w:val="32"/>
          <w:szCs w:val="32"/>
        </w:rPr>
        <w:t>万元；</w:t>
      </w:r>
      <w:r>
        <w:rPr>
          <w:rFonts w:ascii="仿宋_GB2312" w:hAnsi="仿宋" w:eastAsia="仿宋_GB2312"/>
          <w:color w:val="auto"/>
          <w:sz w:val="32"/>
          <w:szCs w:val="32"/>
        </w:rPr>
        <w:t xml:space="preserve"> </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个人所得税完成</w:t>
      </w:r>
      <w:r>
        <w:rPr>
          <w:rFonts w:ascii="仿宋_GB2312" w:hAnsi="仿宋" w:eastAsia="仿宋_GB2312"/>
          <w:color w:val="auto"/>
          <w:sz w:val="32"/>
          <w:szCs w:val="32"/>
        </w:rPr>
        <w:t xml:space="preserve">              </w:t>
      </w:r>
      <w:r>
        <w:rPr>
          <w:rFonts w:ascii="仿宋_GB2312" w:hAnsi="仿宋" w:eastAsia="仿宋_GB2312"/>
          <w:color w:val="auto"/>
          <w:spacing w:val="-6"/>
          <w:sz w:val="32"/>
          <w:szCs w:val="32"/>
        </w:rPr>
        <w:t xml:space="preserve">            </w:t>
      </w:r>
      <w:r>
        <w:rPr>
          <w:rFonts w:hint="eastAsia" w:ascii="仿宋_GB2312" w:hAnsi="仿宋" w:eastAsia="仿宋_GB2312"/>
          <w:color w:val="auto"/>
          <w:spacing w:val="-6"/>
          <w:sz w:val="32"/>
          <w:szCs w:val="32"/>
          <w:lang w:val="en-US" w:eastAsia="zh-CN"/>
        </w:rPr>
        <w:t xml:space="preserve">    106 </w:t>
      </w:r>
      <w:r>
        <w:rPr>
          <w:rFonts w:hint="eastAsia" w:ascii="仿宋_GB2312" w:hAnsi="仿宋" w:eastAsia="仿宋_GB2312"/>
          <w:color w:val="auto"/>
          <w:sz w:val="32"/>
          <w:szCs w:val="32"/>
        </w:rPr>
        <w:t>万元；</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资源税完成</w:t>
      </w:r>
      <w:r>
        <w:rPr>
          <w:rFonts w:ascii="仿宋_GB2312" w:hAnsi="仿宋" w:eastAsia="仿宋_GB2312"/>
          <w:color w:val="auto"/>
          <w:sz w:val="32"/>
          <w:szCs w:val="32"/>
        </w:rPr>
        <w:t xml:space="preserve">                              </w:t>
      </w:r>
      <w:r>
        <w:rPr>
          <w:rFonts w:hint="eastAsia" w:ascii="仿宋" w:hAnsi="仿宋" w:eastAsia="仿宋" w:cs="仿宋"/>
          <w:color w:val="auto"/>
          <w:sz w:val="32"/>
          <w:szCs w:val="32"/>
          <w:lang w:val="en-US" w:eastAsia="zh-CN"/>
        </w:rPr>
        <w:t xml:space="preserve">    15</w:t>
      </w:r>
      <w:r>
        <w:rPr>
          <w:rFonts w:hint="eastAsia" w:ascii="仿宋_GB2312" w:hAnsi="仿宋" w:eastAsia="仿宋_GB2312"/>
          <w:color w:val="auto"/>
          <w:sz w:val="32"/>
          <w:szCs w:val="32"/>
        </w:rPr>
        <w:t>万元；</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城市维护建设税完成</w:t>
      </w:r>
      <w:r>
        <w:rPr>
          <w:rFonts w:ascii="仿宋_GB2312" w:hAnsi="仿宋" w:eastAsia="仿宋_GB2312"/>
          <w:color w:val="auto"/>
          <w:sz w:val="32"/>
          <w:szCs w:val="32"/>
        </w:rPr>
        <w:t xml:space="preserve">                    </w:t>
      </w:r>
      <w:r>
        <w:rPr>
          <w:rFonts w:hint="eastAsia" w:ascii="仿宋" w:hAnsi="仿宋" w:eastAsia="仿宋" w:cs="仿宋"/>
          <w:color w:val="auto"/>
          <w:sz w:val="32"/>
          <w:szCs w:val="32"/>
          <w:lang w:val="en-US" w:eastAsia="zh-CN"/>
        </w:rPr>
        <w:t xml:space="preserve">     413</w:t>
      </w:r>
      <w:r>
        <w:rPr>
          <w:rFonts w:hint="eastAsia" w:ascii="仿宋_GB2312" w:hAnsi="仿宋" w:eastAsia="仿宋_GB2312"/>
          <w:color w:val="auto"/>
          <w:sz w:val="32"/>
          <w:szCs w:val="32"/>
        </w:rPr>
        <w:t>万元；</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房产税完成</w:t>
      </w:r>
      <w:r>
        <w:rPr>
          <w:rFonts w:ascii="仿宋_GB2312" w:hAnsi="仿宋" w:eastAsia="仿宋_GB2312"/>
          <w:color w:val="auto"/>
          <w:sz w:val="32"/>
          <w:szCs w:val="32"/>
        </w:rPr>
        <w:t xml:space="preserve">                             </w:t>
      </w:r>
      <w:r>
        <w:rPr>
          <w:rFonts w:hint="eastAsia" w:ascii="仿宋" w:hAnsi="仿宋" w:eastAsia="仿宋" w:cs="仿宋"/>
          <w:color w:val="auto"/>
          <w:sz w:val="32"/>
          <w:szCs w:val="32"/>
          <w:lang w:val="en-US" w:eastAsia="zh-CN"/>
        </w:rPr>
        <w:t xml:space="preserve">    230</w:t>
      </w:r>
      <w:r>
        <w:rPr>
          <w:rFonts w:hint="eastAsia" w:ascii="仿宋_GB2312" w:hAnsi="仿宋" w:eastAsia="仿宋_GB2312"/>
          <w:color w:val="auto"/>
          <w:sz w:val="32"/>
          <w:szCs w:val="32"/>
        </w:rPr>
        <w:t>万元；</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印花税完成</w:t>
      </w:r>
      <w:r>
        <w:rPr>
          <w:rFonts w:ascii="仿宋_GB2312" w:hAnsi="仿宋" w:eastAsia="仿宋_GB2312"/>
          <w:color w:val="auto"/>
          <w:sz w:val="32"/>
          <w:szCs w:val="32"/>
        </w:rPr>
        <w:t xml:space="preserve">                             </w:t>
      </w:r>
      <w:r>
        <w:rPr>
          <w:rFonts w:hint="eastAsia" w:ascii="仿宋" w:hAnsi="仿宋" w:eastAsia="仿宋" w:cs="仿宋"/>
          <w:color w:val="auto"/>
          <w:sz w:val="32"/>
          <w:szCs w:val="32"/>
          <w:lang w:val="en-US" w:eastAsia="zh-CN"/>
        </w:rPr>
        <w:t xml:space="preserve">    110</w:t>
      </w:r>
      <w:r>
        <w:rPr>
          <w:rFonts w:hint="eastAsia" w:ascii="仿宋_GB2312" w:hAnsi="仿宋" w:eastAsia="仿宋_GB2312"/>
          <w:color w:val="auto"/>
          <w:sz w:val="32"/>
          <w:szCs w:val="32"/>
        </w:rPr>
        <w:t>万元；</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城镇土地使用税完成</w:t>
      </w:r>
      <w:r>
        <w:rPr>
          <w:rFonts w:ascii="仿宋_GB2312" w:hAnsi="仿宋" w:eastAsia="仿宋_GB2312"/>
          <w:color w:val="auto"/>
          <w:sz w:val="32"/>
          <w:szCs w:val="32"/>
        </w:rPr>
        <w:t xml:space="preserve">                     </w:t>
      </w:r>
      <w:r>
        <w:rPr>
          <w:rFonts w:hint="eastAsia" w:ascii="仿宋_GB2312" w:hAnsi="仿宋" w:eastAsia="仿宋_GB2312"/>
          <w:color w:val="auto"/>
          <w:sz w:val="32"/>
          <w:szCs w:val="32"/>
          <w:lang w:val="en-US" w:eastAsia="zh-CN"/>
        </w:rPr>
        <w:t xml:space="preserve"> </w:t>
      </w:r>
      <w:r>
        <w:rPr>
          <w:rFonts w:hint="eastAsia" w:ascii="仿宋" w:hAnsi="仿宋" w:eastAsia="仿宋" w:cs="仿宋"/>
          <w:color w:val="auto"/>
          <w:sz w:val="32"/>
          <w:szCs w:val="32"/>
          <w:lang w:val="en-US" w:eastAsia="zh-CN"/>
        </w:rPr>
        <w:t xml:space="preserve">    67</w:t>
      </w:r>
      <w:r>
        <w:rPr>
          <w:rFonts w:hint="eastAsia" w:ascii="仿宋_GB2312" w:hAnsi="仿宋" w:eastAsia="仿宋_GB2312"/>
          <w:color w:val="auto"/>
          <w:sz w:val="32"/>
          <w:szCs w:val="32"/>
        </w:rPr>
        <w:t>万元；</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车船税完成</w:t>
      </w:r>
      <w:r>
        <w:rPr>
          <w:rFonts w:ascii="仿宋_GB2312" w:hAnsi="仿宋" w:eastAsia="仿宋_GB2312"/>
          <w:color w:val="auto"/>
          <w:sz w:val="32"/>
          <w:szCs w:val="32"/>
        </w:rPr>
        <w:t xml:space="preserve">                              </w:t>
      </w:r>
      <w:r>
        <w:rPr>
          <w:rFonts w:hint="eastAsia" w:ascii="仿宋_GB2312" w:hAnsi="仿宋" w:eastAsia="仿宋_GB2312"/>
          <w:color w:val="auto"/>
          <w:sz w:val="32"/>
          <w:szCs w:val="32"/>
          <w:lang w:val="en-US" w:eastAsia="zh-CN"/>
        </w:rPr>
        <w:t xml:space="preserve">  </w:t>
      </w:r>
      <w:r>
        <w:rPr>
          <w:rFonts w:hint="eastAsia" w:ascii="仿宋" w:hAnsi="仿宋" w:eastAsia="仿宋" w:cs="仿宋"/>
          <w:color w:val="auto"/>
          <w:sz w:val="32"/>
          <w:szCs w:val="32"/>
          <w:lang w:val="en-US" w:eastAsia="zh-CN"/>
        </w:rPr>
        <w:t xml:space="preserve"> 205</w:t>
      </w:r>
      <w:r>
        <w:rPr>
          <w:rFonts w:hint="eastAsia" w:ascii="仿宋_GB2312" w:hAnsi="仿宋" w:eastAsia="仿宋_GB2312"/>
          <w:color w:val="auto"/>
          <w:sz w:val="32"/>
          <w:szCs w:val="32"/>
        </w:rPr>
        <w:t>万元；</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土地增值税完成</w:t>
      </w:r>
      <w:r>
        <w:rPr>
          <w:rFonts w:ascii="仿宋_GB2312" w:hAnsi="仿宋" w:eastAsia="仿宋_GB2312"/>
          <w:color w:val="auto"/>
          <w:sz w:val="32"/>
          <w:szCs w:val="32"/>
        </w:rPr>
        <w:t xml:space="preserve">                          </w:t>
      </w:r>
      <w:r>
        <w:rPr>
          <w:rFonts w:hint="eastAsia" w:ascii="仿宋" w:hAnsi="仿宋" w:eastAsia="仿宋" w:cs="仿宋"/>
          <w:color w:val="auto"/>
          <w:sz w:val="32"/>
          <w:szCs w:val="32"/>
          <w:lang w:val="en-US" w:eastAsia="zh-CN"/>
        </w:rPr>
        <w:t xml:space="preserve">    70</w:t>
      </w:r>
      <w:r>
        <w:rPr>
          <w:rFonts w:hint="eastAsia" w:ascii="仿宋_GB2312" w:hAnsi="仿宋" w:eastAsia="仿宋_GB2312"/>
          <w:color w:val="auto"/>
          <w:sz w:val="32"/>
          <w:szCs w:val="32"/>
        </w:rPr>
        <w:t>万元；</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契税完成</w:t>
      </w:r>
      <w:r>
        <w:rPr>
          <w:rFonts w:ascii="仿宋_GB2312" w:hAnsi="仿宋" w:eastAsia="仿宋_GB2312"/>
          <w:color w:val="auto"/>
          <w:sz w:val="32"/>
          <w:szCs w:val="32"/>
        </w:rPr>
        <w:t xml:space="preserve">                              </w:t>
      </w:r>
      <w:r>
        <w:rPr>
          <w:rFonts w:hint="eastAsia" w:ascii="仿宋" w:hAnsi="仿宋" w:eastAsia="仿宋" w:cs="仿宋"/>
          <w:color w:val="auto"/>
          <w:sz w:val="32"/>
          <w:szCs w:val="32"/>
          <w:lang w:val="en-US" w:eastAsia="zh-CN"/>
        </w:rPr>
        <w:t xml:space="preserve">      40</w:t>
      </w:r>
      <w:r>
        <w:rPr>
          <w:rFonts w:hint="eastAsia" w:ascii="仿宋_GB2312" w:hAnsi="仿宋" w:eastAsia="仿宋_GB2312"/>
          <w:color w:val="auto"/>
          <w:sz w:val="32"/>
          <w:szCs w:val="32"/>
        </w:rPr>
        <w:t>万元；</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lang w:val="en-US" w:eastAsia="zh-CN"/>
        </w:rPr>
        <w:t>耕地占用税                                 100</w:t>
      </w:r>
      <w:r>
        <w:rPr>
          <w:rFonts w:hint="eastAsia" w:ascii="仿宋_GB2312" w:hAnsi="仿宋" w:eastAsia="仿宋_GB2312"/>
          <w:color w:val="auto"/>
          <w:sz w:val="32"/>
          <w:szCs w:val="32"/>
        </w:rPr>
        <w:t>万元</w:t>
      </w:r>
      <w:r>
        <w:rPr>
          <w:rFonts w:hint="eastAsia" w:ascii="仿宋_GB2312" w:hAnsi="仿宋" w:eastAsia="仿宋_GB2312"/>
          <w:color w:val="auto"/>
          <w:sz w:val="32"/>
          <w:szCs w:val="32"/>
          <w:lang w:eastAsia="zh-CN"/>
        </w:rPr>
        <w:t>；</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val="0"/>
          <w:bCs/>
          <w:color w:val="auto"/>
          <w:sz w:val="32"/>
          <w:szCs w:val="32"/>
          <w:lang w:eastAsia="zh-CN"/>
        </w:rPr>
      </w:pPr>
      <w:r>
        <w:rPr>
          <w:rFonts w:hint="eastAsia" w:ascii="楷体" w:hAnsi="楷体" w:eastAsia="楷体" w:cs="楷体"/>
          <w:b w:val="0"/>
          <w:bCs/>
          <w:color w:val="auto"/>
          <w:sz w:val="32"/>
          <w:szCs w:val="32"/>
        </w:rPr>
        <w:t>非税收入完成</w:t>
      </w:r>
      <w:r>
        <w:rPr>
          <w:rFonts w:hint="eastAsia" w:ascii="楷体" w:hAnsi="楷体" w:eastAsia="楷体" w:cs="楷体"/>
          <w:b w:val="0"/>
          <w:bCs/>
          <w:color w:val="auto"/>
          <w:sz w:val="32"/>
          <w:szCs w:val="32"/>
          <w:lang w:val="en-US" w:eastAsia="zh-CN"/>
        </w:rPr>
        <w:t>4310</w:t>
      </w:r>
      <w:r>
        <w:rPr>
          <w:rFonts w:hint="eastAsia" w:ascii="楷体" w:hAnsi="楷体" w:eastAsia="楷体" w:cs="楷体"/>
          <w:b w:val="0"/>
          <w:bCs/>
          <w:color w:val="auto"/>
          <w:sz w:val="32"/>
          <w:szCs w:val="32"/>
        </w:rPr>
        <w:t>万元，其中</w:t>
      </w:r>
      <w:r>
        <w:rPr>
          <w:rFonts w:hint="eastAsia" w:ascii="楷体" w:hAnsi="楷体" w:eastAsia="楷体" w:cs="楷体"/>
          <w:b w:val="0"/>
          <w:bCs/>
          <w:color w:val="auto"/>
          <w:sz w:val="32"/>
          <w:szCs w:val="32"/>
          <w:lang w:eastAsia="zh-CN"/>
        </w:rPr>
        <w:t>：</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专项收入完成</w:t>
      </w:r>
      <w:r>
        <w:rPr>
          <w:rFonts w:ascii="仿宋_GB2312" w:hAnsi="仿宋" w:eastAsia="仿宋_GB2312"/>
          <w:color w:val="auto"/>
          <w:sz w:val="32"/>
          <w:szCs w:val="32"/>
        </w:rPr>
        <w:t xml:space="preserve">                           </w:t>
      </w:r>
      <w:r>
        <w:rPr>
          <w:rFonts w:hint="eastAsia" w:ascii="仿宋" w:hAnsi="仿宋" w:eastAsia="仿宋" w:cs="仿宋"/>
          <w:color w:val="auto"/>
          <w:sz w:val="32"/>
          <w:szCs w:val="32"/>
          <w:lang w:val="en-US" w:eastAsia="zh-CN"/>
        </w:rPr>
        <w:t xml:space="preserve">    750</w:t>
      </w:r>
      <w:r>
        <w:rPr>
          <w:rFonts w:hint="eastAsia" w:ascii="仿宋_GB2312" w:hAnsi="仿宋" w:eastAsia="仿宋_GB2312"/>
          <w:color w:val="auto"/>
          <w:sz w:val="32"/>
          <w:szCs w:val="32"/>
        </w:rPr>
        <w:t>万元；</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行政事业性收费收入完成</w:t>
      </w:r>
      <w:r>
        <w:rPr>
          <w:rFonts w:ascii="仿宋_GB2312" w:hAnsi="仿宋" w:eastAsia="仿宋_GB2312"/>
          <w:color w:val="auto"/>
          <w:sz w:val="32"/>
          <w:szCs w:val="32"/>
        </w:rPr>
        <w:t xml:space="preserve">                 </w:t>
      </w:r>
      <w:r>
        <w:rPr>
          <w:rFonts w:hint="eastAsia" w:ascii="仿宋_GB2312" w:hAnsi="仿宋" w:eastAsia="仿宋_GB2312"/>
          <w:color w:val="auto"/>
          <w:sz w:val="32"/>
          <w:szCs w:val="32"/>
          <w:lang w:val="en-US" w:eastAsia="zh-CN"/>
        </w:rPr>
        <w:t xml:space="preserve">   </w:t>
      </w:r>
      <w:r>
        <w:rPr>
          <w:rFonts w:hint="eastAsia" w:ascii="仿宋" w:hAnsi="仿宋" w:eastAsia="仿宋" w:cs="仿宋"/>
          <w:color w:val="auto"/>
          <w:sz w:val="32"/>
          <w:szCs w:val="32"/>
          <w:lang w:val="en-US" w:eastAsia="zh-CN"/>
        </w:rPr>
        <w:t>1680</w:t>
      </w:r>
      <w:r>
        <w:rPr>
          <w:rFonts w:hint="eastAsia" w:ascii="仿宋_GB2312" w:hAnsi="仿宋" w:eastAsia="仿宋_GB2312"/>
          <w:color w:val="auto"/>
          <w:sz w:val="32"/>
          <w:szCs w:val="32"/>
        </w:rPr>
        <w:t>万元；</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罚没收入完成</w:t>
      </w:r>
      <w:r>
        <w:rPr>
          <w:rFonts w:ascii="仿宋_GB2312" w:hAnsi="仿宋" w:eastAsia="仿宋_GB2312"/>
          <w:color w:val="auto"/>
          <w:sz w:val="32"/>
          <w:szCs w:val="32"/>
        </w:rPr>
        <w:t xml:space="preserve">                           </w:t>
      </w:r>
      <w:r>
        <w:rPr>
          <w:rFonts w:hint="eastAsia" w:ascii="仿宋_GB2312" w:hAnsi="仿宋" w:eastAsia="仿宋_GB2312"/>
          <w:color w:val="auto"/>
          <w:sz w:val="32"/>
          <w:szCs w:val="32"/>
          <w:lang w:val="en-US" w:eastAsia="zh-CN"/>
        </w:rPr>
        <w:t xml:space="preserve">  </w:t>
      </w:r>
      <w:r>
        <w:rPr>
          <w:rFonts w:hint="eastAsia" w:ascii="仿宋" w:hAnsi="仿宋" w:eastAsia="仿宋" w:cs="仿宋"/>
          <w:color w:val="auto"/>
          <w:sz w:val="32"/>
          <w:szCs w:val="32"/>
          <w:lang w:val="en-US" w:eastAsia="zh-CN"/>
        </w:rPr>
        <w:t xml:space="preserve"> 1100</w:t>
      </w:r>
      <w:r>
        <w:rPr>
          <w:rFonts w:hint="eastAsia" w:ascii="仿宋_GB2312" w:hAnsi="仿宋" w:eastAsia="仿宋_GB2312"/>
          <w:color w:val="auto"/>
          <w:sz w:val="32"/>
          <w:szCs w:val="32"/>
        </w:rPr>
        <w:t>万元；</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rPr>
        <w:t>国有资源（资产</w:t>
      </w:r>
      <w:r>
        <w:rPr>
          <w:rFonts w:hint="eastAsia" w:ascii="仿宋_GB2312" w:hAnsi="仿宋" w:eastAsia="仿宋_GB2312"/>
          <w:color w:val="auto"/>
          <w:sz w:val="32"/>
          <w:szCs w:val="32"/>
          <w:highlight w:val="none"/>
        </w:rPr>
        <w:t>）有偿使用收入完成</w:t>
      </w:r>
      <w:r>
        <w:rPr>
          <w:rFonts w:ascii="仿宋_GB2312" w:hAnsi="仿宋" w:eastAsia="仿宋_GB2312"/>
          <w:color w:val="auto"/>
          <w:sz w:val="32"/>
          <w:szCs w:val="32"/>
          <w:highlight w:val="none"/>
        </w:rPr>
        <w:t xml:space="preserve">       </w:t>
      </w:r>
      <w:r>
        <w:rPr>
          <w:rFonts w:hint="eastAsia" w:ascii="仿宋_GB2312" w:hAnsi="仿宋" w:eastAsia="仿宋_GB2312"/>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 xml:space="preserve"> 750</w:t>
      </w:r>
      <w:r>
        <w:rPr>
          <w:rFonts w:hint="eastAsia" w:ascii="仿宋_GB2312" w:hAnsi="仿宋" w:eastAsia="仿宋_GB2312"/>
          <w:color w:val="auto"/>
          <w:sz w:val="32"/>
          <w:szCs w:val="32"/>
          <w:highlight w:val="none"/>
        </w:rPr>
        <w:t>万元；</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eastAsia="zh-CN"/>
        </w:rPr>
        <w:t>政府住房基金收入</w:t>
      </w:r>
      <w:r>
        <w:rPr>
          <w:rFonts w:ascii="仿宋_GB2312" w:hAnsi="仿宋" w:eastAsia="仿宋_GB2312"/>
          <w:color w:val="auto"/>
          <w:sz w:val="32"/>
          <w:szCs w:val="32"/>
          <w:highlight w:val="none"/>
        </w:rPr>
        <w:t xml:space="preserve">                       </w:t>
      </w:r>
      <w:r>
        <w:rPr>
          <w:rFonts w:hint="eastAsia" w:ascii="仿宋_GB2312" w:hAnsi="仿宋" w:eastAsia="仿宋_GB2312"/>
          <w:color w:val="auto"/>
          <w:sz w:val="32"/>
          <w:szCs w:val="32"/>
          <w:highlight w:val="none"/>
          <w:lang w:val="en-US" w:eastAsia="zh-CN"/>
        </w:rPr>
        <w:t xml:space="preserve">     3</w:t>
      </w:r>
      <w:r>
        <w:rPr>
          <w:rFonts w:hint="eastAsia" w:ascii="仿宋" w:hAnsi="仿宋" w:eastAsia="仿宋" w:cs="仿宋"/>
          <w:color w:val="auto"/>
          <w:sz w:val="32"/>
          <w:szCs w:val="32"/>
          <w:highlight w:val="none"/>
          <w:lang w:val="en-US" w:eastAsia="zh-CN"/>
        </w:rPr>
        <w:t>0</w:t>
      </w:r>
      <w:r>
        <w:rPr>
          <w:rFonts w:hint="eastAsia" w:ascii="仿宋_GB2312" w:hAnsi="仿宋" w:eastAsia="仿宋_GB2312"/>
          <w:color w:val="auto"/>
          <w:sz w:val="32"/>
          <w:szCs w:val="32"/>
          <w:highlight w:val="none"/>
        </w:rPr>
        <w:t>万元。</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2" w:firstLineChars="200"/>
        <w:textAlignment w:val="auto"/>
        <w:rPr>
          <w:rFonts w:hint="default" w:ascii="仿宋_GB2312" w:hAnsi="仿宋" w:eastAsia="仿宋_GB2312"/>
          <w:b/>
          <w:bCs/>
          <w:color w:val="auto"/>
          <w:sz w:val="32"/>
          <w:szCs w:val="32"/>
          <w:highlight w:val="none"/>
          <w:lang w:val="en-US" w:eastAsia="zh-CN"/>
        </w:rPr>
      </w:pPr>
      <w:r>
        <w:rPr>
          <w:rFonts w:hint="eastAsia" w:ascii="仿宋_GB2312" w:hAnsi="仿宋" w:eastAsia="仿宋_GB2312"/>
          <w:b/>
          <w:bCs/>
          <w:color w:val="auto"/>
          <w:sz w:val="32"/>
          <w:szCs w:val="32"/>
          <w:highlight w:val="none"/>
          <w:lang w:val="en-US" w:eastAsia="zh-CN"/>
        </w:rPr>
        <w:t>上级补助收入321633万元，其中：</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 xml:space="preserve">返还性收入  </w:t>
      </w:r>
      <w:r>
        <w:rPr>
          <w:rFonts w:hint="eastAsia" w:ascii="仿宋_GB2312" w:hAnsi="仿宋" w:eastAsia="仿宋_GB2312"/>
          <w:b/>
          <w:bCs/>
          <w:color w:val="auto"/>
          <w:sz w:val="32"/>
          <w:szCs w:val="32"/>
          <w:highlight w:val="none"/>
          <w:lang w:val="en-US" w:eastAsia="zh-CN"/>
        </w:rPr>
        <w:t xml:space="preserve">                              </w:t>
      </w:r>
      <w:r>
        <w:rPr>
          <w:rFonts w:hint="eastAsia" w:ascii="仿宋_GB2312" w:hAnsi="仿宋" w:eastAsia="仿宋_GB2312"/>
          <w:b w:val="0"/>
          <w:bCs w:val="0"/>
          <w:color w:val="auto"/>
          <w:sz w:val="32"/>
          <w:szCs w:val="32"/>
          <w:highlight w:val="none"/>
          <w:lang w:val="en-US" w:eastAsia="zh-CN"/>
        </w:rPr>
        <w:t>1539万元；</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一般性转移支付收入217094万元，其中：</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b w:val="0"/>
          <w:bCs w:val="0"/>
          <w:color w:val="auto"/>
          <w:sz w:val="32"/>
          <w:szCs w:val="32"/>
          <w:highlight w:val="none"/>
          <w:lang w:val="en-US" w:eastAsia="zh-CN"/>
        </w:rPr>
      </w:pPr>
      <w:r>
        <w:rPr>
          <w:rFonts w:hint="default" w:ascii="仿宋_GB2312" w:hAnsi="仿宋" w:eastAsia="仿宋_GB2312"/>
          <w:b w:val="0"/>
          <w:bCs w:val="0"/>
          <w:color w:val="auto"/>
          <w:sz w:val="32"/>
          <w:szCs w:val="32"/>
          <w:highlight w:val="none"/>
          <w:lang w:val="en-US" w:eastAsia="zh-CN"/>
        </w:rPr>
        <w:t>均衡性转移支付收入</w:t>
      </w:r>
      <w:r>
        <w:rPr>
          <w:rFonts w:hint="eastAsia" w:ascii="仿宋_GB2312" w:hAnsi="仿宋" w:eastAsia="仿宋_GB2312"/>
          <w:b w:val="0"/>
          <w:bCs w:val="0"/>
          <w:color w:val="auto"/>
          <w:sz w:val="32"/>
          <w:szCs w:val="32"/>
          <w:highlight w:val="none"/>
          <w:lang w:val="en-US" w:eastAsia="zh-CN"/>
        </w:rPr>
        <w:t xml:space="preserve">                       90621万元；</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b w:val="0"/>
          <w:bCs w:val="0"/>
          <w:color w:val="auto"/>
          <w:sz w:val="32"/>
          <w:szCs w:val="32"/>
          <w:highlight w:val="none"/>
          <w:lang w:val="en-US" w:eastAsia="zh-CN"/>
        </w:rPr>
      </w:pPr>
      <w:r>
        <w:rPr>
          <w:rFonts w:hint="default" w:ascii="仿宋_GB2312" w:hAnsi="仿宋" w:eastAsia="仿宋_GB2312"/>
          <w:b w:val="0"/>
          <w:bCs w:val="0"/>
          <w:color w:val="auto"/>
          <w:sz w:val="32"/>
          <w:szCs w:val="32"/>
          <w:highlight w:val="none"/>
          <w:lang w:val="en-US" w:eastAsia="zh-CN"/>
        </w:rPr>
        <w:t>县级基本财力保障机制奖补资金收入</w:t>
      </w:r>
      <w:r>
        <w:rPr>
          <w:rFonts w:hint="eastAsia" w:ascii="仿宋_GB2312" w:hAnsi="仿宋" w:eastAsia="仿宋_GB2312"/>
          <w:b w:val="0"/>
          <w:bCs w:val="0"/>
          <w:color w:val="auto"/>
          <w:sz w:val="32"/>
          <w:szCs w:val="32"/>
          <w:highlight w:val="none"/>
          <w:lang w:val="en-US" w:eastAsia="zh-CN"/>
        </w:rPr>
        <w:t xml:space="preserve">         12257万元；</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b w:val="0"/>
          <w:bCs w:val="0"/>
          <w:color w:val="auto"/>
          <w:sz w:val="32"/>
          <w:szCs w:val="32"/>
          <w:highlight w:val="none"/>
          <w:lang w:val="en-US" w:eastAsia="zh-CN"/>
        </w:rPr>
      </w:pPr>
      <w:r>
        <w:rPr>
          <w:rFonts w:hint="default" w:ascii="仿宋_GB2312" w:hAnsi="仿宋" w:eastAsia="仿宋_GB2312"/>
          <w:b w:val="0"/>
          <w:bCs w:val="0"/>
          <w:color w:val="auto"/>
          <w:sz w:val="32"/>
          <w:szCs w:val="32"/>
          <w:highlight w:val="none"/>
          <w:lang w:val="en-US" w:eastAsia="zh-CN"/>
        </w:rPr>
        <w:t>结算补助收入</w:t>
      </w:r>
      <w:r>
        <w:rPr>
          <w:rFonts w:hint="eastAsia" w:ascii="仿宋_GB2312" w:hAnsi="仿宋" w:eastAsia="仿宋_GB2312"/>
          <w:b w:val="0"/>
          <w:bCs w:val="0"/>
          <w:color w:val="auto"/>
          <w:sz w:val="32"/>
          <w:szCs w:val="32"/>
          <w:highlight w:val="none"/>
          <w:lang w:val="en-US" w:eastAsia="zh-CN"/>
        </w:rPr>
        <w:t xml:space="preserve">                              3000万元；</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b w:val="0"/>
          <w:bCs w:val="0"/>
          <w:color w:val="auto"/>
          <w:sz w:val="32"/>
          <w:szCs w:val="32"/>
          <w:highlight w:val="none"/>
          <w:lang w:val="en-US" w:eastAsia="zh-CN"/>
        </w:rPr>
      </w:pPr>
      <w:r>
        <w:rPr>
          <w:rFonts w:hint="default" w:ascii="仿宋_GB2312" w:hAnsi="仿宋" w:eastAsia="仿宋_GB2312"/>
          <w:b w:val="0"/>
          <w:bCs w:val="0"/>
          <w:color w:val="auto"/>
          <w:sz w:val="32"/>
          <w:szCs w:val="32"/>
          <w:highlight w:val="none"/>
          <w:lang w:val="en-US" w:eastAsia="zh-CN"/>
        </w:rPr>
        <w:t>产粮(油)大县奖励资金收入</w:t>
      </w:r>
      <w:r>
        <w:rPr>
          <w:rFonts w:hint="eastAsia" w:ascii="仿宋_GB2312" w:hAnsi="仿宋" w:eastAsia="仿宋_GB2312"/>
          <w:b w:val="0"/>
          <w:bCs w:val="0"/>
          <w:color w:val="auto"/>
          <w:sz w:val="32"/>
          <w:szCs w:val="32"/>
          <w:highlight w:val="none"/>
          <w:lang w:val="en-US" w:eastAsia="zh-CN"/>
        </w:rPr>
        <w:t xml:space="preserve">                   200万元；</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b w:val="0"/>
          <w:bCs w:val="0"/>
          <w:color w:val="auto"/>
          <w:sz w:val="32"/>
          <w:szCs w:val="32"/>
          <w:highlight w:val="none"/>
          <w:lang w:val="en-US" w:eastAsia="zh-CN"/>
        </w:rPr>
      </w:pPr>
      <w:r>
        <w:rPr>
          <w:rFonts w:hint="eastAsia" w:ascii="仿宋_GB2312" w:hAnsi="仿宋" w:eastAsia="仿宋_GB2312"/>
          <w:b w:val="0"/>
          <w:bCs w:val="0"/>
          <w:color w:val="auto"/>
          <w:sz w:val="32"/>
          <w:szCs w:val="32"/>
          <w:highlight w:val="none"/>
          <w:lang w:val="en-US" w:eastAsia="zh-CN"/>
        </w:rPr>
        <w:t>重点生态功能区转移支付收入                7465万元；</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b w:val="0"/>
          <w:bCs w:val="0"/>
          <w:color w:val="auto"/>
          <w:sz w:val="32"/>
          <w:szCs w:val="32"/>
          <w:highlight w:val="none"/>
          <w:lang w:val="en-US" w:eastAsia="zh-CN"/>
        </w:rPr>
      </w:pPr>
      <w:r>
        <w:rPr>
          <w:rFonts w:hint="default" w:ascii="仿宋_GB2312" w:hAnsi="仿宋" w:eastAsia="仿宋_GB2312"/>
          <w:b w:val="0"/>
          <w:bCs w:val="0"/>
          <w:color w:val="auto"/>
          <w:sz w:val="32"/>
          <w:szCs w:val="32"/>
          <w:highlight w:val="none"/>
          <w:lang w:val="en-US" w:eastAsia="zh-CN"/>
        </w:rPr>
        <w:t>固定数额补助收入</w:t>
      </w:r>
      <w:r>
        <w:rPr>
          <w:rFonts w:hint="eastAsia" w:ascii="仿宋_GB2312" w:hAnsi="仿宋" w:eastAsia="仿宋_GB2312"/>
          <w:b w:val="0"/>
          <w:bCs w:val="0"/>
          <w:color w:val="auto"/>
          <w:sz w:val="32"/>
          <w:szCs w:val="32"/>
          <w:highlight w:val="none"/>
          <w:lang w:val="en-US" w:eastAsia="zh-CN"/>
        </w:rPr>
        <w:t xml:space="preserve">                         19310万元；</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b w:val="0"/>
          <w:bCs w:val="0"/>
          <w:color w:val="auto"/>
          <w:sz w:val="32"/>
          <w:szCs w:val="32"/>
          <w:highlight w:val="none"/>
          <w:lang w:val="en-US" w:eastAsia="zh-CN"/>
        </w:rPr>
      </w:pPr>
      <w:r>
        <w:rPr>
          <w:rFonts w:hint="default" w:ascii="仿宋_GB2312" w:hAnsi="仿宋" w:eastAsia="仿宋_GB2312"/>
          <w:b w:val="0"/>
          <w:bCs w:val="0"/>
          <w:color w:val="auto"/>
          <w:sz w:val="32"/>
          <w:szCs w:val="32"/>
          <w:highlight w:val="none"/>
          <w:lang w:val="en-US" w:eastAsia="zh-CN"/>
        </w:rPr>
        <w:t>革命老区转移支付收入</w:t>
      </w:r>
      <w:r>
        <w:rPr>
          <w:rFonts w:hint="eastAsia" w:ascii="仿宋_GB2312" w:hAnsi="仿宋" w:eastAsia="仿宋_GB2312"/>
          <w:b w:val="0"/>
          <w:bCs w:val="0"/>
          <w:color w:val="auto"/>
          <w:sz w:val="32"/>
          <w:szCs w:val="32"/>
          <w:highlight w:val="none"/>
          <w:lang w:val="en-US" w:eastAsia="zh-CN"/>
        </w:rPr>
        <w:t xml:space="preserve">                       971万元；</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 w:eastAsia="仿宋_GB2312"/>
          <w:b w:val="0"/>
          <w:bCs w:val="0"/>
          <w:color w:val="auto"/>
          <w:sz w:val="32"/>
          <w:szCs w:val="32"/>
          <w:highlight w:val="none"/>
          <w:lang w:val="en-US" w:eastAsia="zh-CN"/>
        </w:rPr>
      </w:pPr>
      <w:r>
        <w:rPr>
          <w:rFonts w:hint="eastAsia" w:ascii="仿宋_GB2312" w:hAnsi="仿宋" w:eastAsia="仿宋_GB2312"/>
          <w:b w:val="0"/>
          <w:bCs w:val="0"/>
          <w:color w:val="auto"/>
          <w:sz w:val="32"/>
          <w:szCs w:val="32"/>
          <w:highlight w:val="none"/>
          <w:lang w:val="en-US" w:eastAsia="zh-CN"/>
        </w:rPr>
        <w:t>巩固脱贫攻坚成果衔接乡村振兴</w:t>
      </w:r>
      <w:r>
        <w:rPr>
          <w:rFonts w:hint="default" w:ascii="仿宋_GB2312" w:hAnsi="仿宋" w:eastAsia="仿宋_GB2312"/>
          <w:b w:val="0"/>
          <w:bCs w:val="0"/>
          <w:color w:val="auto"/>
          <w:sz w:val="32"/>
          <w:szCs w:val="32"/>
          <w:highlight w:val="none"/>
          <w:lang w:val="en-US" w:eastAsia="zh-CN"/>
        </w:rPr>
        <w:t>收入</w:t>
      </w:r>
      <w:r>
        <w:rPr>
          <w:rFonts w:hint="eastAsia" w:ascii="仿宋_GB2312" w:hAnsi="仿宋" w:eastAsia="仿宋_GB2312"/>
          <w:b w:val="0"/>
          <w:bCs w:val="0"/>
          <w:color w:val="auto"/>
          <w:sz w:val="32"/>
          <w:szCs w:val="32"/>
          <w:highlight w:val="none"/>
          <w:lang w:val="en-US" w:eastAsia="zh-CN"/>
        </w:rPr>
        <w:t xml:space="preserve">         13000万元；</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rFonts w:hint="default" w:ascii="仿宋_GB2312" w:hAnsi="仿宋" w:eastAsia="仿宋_GB2312"/>
          <w:b w:val="0"/>
          <w:bCs w:val="0"/>
          <w:color w:val="auto"/>
          <w:sz w:val="32"/>
          <w:szCs w:val="32"/>
          <w:highlight w:val="none"/>
          <w:lang w:val="en-US" w:eastAsia="zh-CN"/>
        </w:rPr>
      </w:pPr>
      <w:r>
        <w:rPr>
          <w:rFonts w:hint="eastAsia" w:ascii="仿宋_GB2312" w:hAnsi="仿宋" w:eastAsia="仿宋_GB2312"/>
          <w:b w:val="0"/>
          <w:bCs w:val="0"/>
          <w:color w:val="auto"/>
          <w:sz w:val="32"/>
          <w:szCs w:val="32"/>
          <w:highlight w:val="none"/>
          <w:lang w:val="en-US" w:eastAsia="zh-CN"/>
        </w:rPr>
        <w:t>一般公共服务</w:t>
      </w:r>
      <w:r>
        <w:rPr>
          <w:rFonts w:hint="default" w:ascii="仿宋_GB2312" w:hAnsi="仿宋" w:eastAsia="仿宋_GB2312"/>
          <w:b w:val="0"/>
          <w:bCs w:val="0"/>
          <w:color w:val="auto"/>
          <w:sz w:val="32"/>
          <w:szCs w:val="32"/>
          <w:highlight w:val="none"/>
          <w:lang w:val="en-US" w:eastAsia="zh-CN"/>
        </w:rPr>
        <w:t>共同财政事权转移支付收入</w:t>
      </w:r>
      <w:r>
        <w:rPr>
          <w:rFonts w:hint="eastAsia" w:ascii="仿宋_GB2312" w:hAnsi="仿宋" w:eastAsia="仿宋_GB2312"/>
          <w:b w:val="0"/>
          <w:bCs w:val="0"/>
          <w:color w:val="auto"/>
          <w:sz w:val="32"/>
          <w:szCs w:val="32"/>
          <w:highlight w:val="none"/>
          <w:lang w:val="en-US" w:eastAsia="zh-CN"/>
        </w:rPr>
        <w:t xml:space="preserve">       240万元；</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b w:val="0"/>
          <w:bCs w:val="0"/>
          <w:color w:val="auto"/>
          <w:sz w:val="32"/>
          <w:szCs w:val="32"/>
          <w:highlight w:val="none"/>
          <w:lang w:val="en-US" w:eastAsia="zh-CN"/>
        </w:rPr>
      </w:pPr>
      <w:r>
        <w:rPr>
          <w:rFonts w:hint="default" w:ascii="仿宋_GB2312" w:hAnsi="仿宋" w:eastAsia="仿宋_GB2312"/>
          <w:b w:val="0"/>
          <w:bCs w:val="0"/>
          <w:color w:val="auto"/>
          <w:sz w:val="32"/>
          <w:szCs w:val="32"/>
          <w:highlight w:val="none"/>
          <w:lang w:val="en-US" w:eastAsia="zh-CN"/>
        </w:rPr>
        <w:t>公共安全共同财政事权转移支付收入</w:t>
      </w:r>
      <w:r>
        <w:rPr>
          <w:rFonts w:hint="eastAsia" w:ascii="仿宋_GB2312" w:hAnsi="仿宋" w:eastAsia="仿宋_GB2312"/>
          <w:b w:val="0"/>
          <w:bCs w:val="0"/>
          <w:color w:val="auto"/>
          <w:sz w:val="32"/>
          <w:szCs w:val="32"/>
          <w:highlight w:val="none"/>
          <w:lang w:val="en-US" w:eastAsia="zh-CN"/>
        </w:rPr>
        <w:t xml:space="preserve">          1200万元；</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 w:eastAsia="仿宋_GB2312"/>
          <w:b w:val="0"/>
          <w:bCs w:val="0"/>
          <w:color w:val="auto"/>
          <w:sz w:val="32"/>
          <w:szCs w:val="32"/>
          <w:highlight w:val="none"/>
          <w:lang w:val="en-US" w:eastAsia="zh-CN"/>
        </w:rPr>
      </w:pPr>
      <w:r>
        <w:rPr>
          <w:rFonts w:hint="default" w:ascii="仿宋_GB2312" w:hAnsi="仿宋" w:eastAsia="仿宋_GB2312"/>
          <w:b w:val="0"/>
          <w:bCs w:val="0"/>
          <w:color w:val="auto"/>
          <w:sz w:val="32"/>
          <w:szCs w:val="32"/>
          <w:highlight w:val="none"/>
          <w:lang w:val="en-US" w:eastAsia="zh-CN"/>
        </w:rPr>
        <w:t>教育共同财政事权转移支付收入</w:t>
      </w:r>
      <w:r>
        <w:rPr>
          <w:rFonts w:hint="eastAsia" w:ascii="仿宋_GB2312" w:hAnsi="仿宋" w:eastAsia="仿宋_GB2312"/>
          <w:b w:val="0"/>
          <w:bCs w:val="0"/>
          <w:color w:val="auto"/>
          <w:sz w:val="32"/>
          <w:szCs w:val="32"/>
          <w:highlight w:val="none"/>
          <w:lang w:val="en-US" w:eastAsia="zh-CN"/>
        </w:rPr>
        <w:t xml:space="preserve">              4800万元；</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 w:eastAsia="仿宋_GB2312"/>
          <w:b w:val="0"/>
          <w:bCs w:val="0"/>
          <w:color w:val="auto"/>
          <w:spacing w:val="-17"/>
          <w:sz w:val="32"/>
          <w:szCs w:val="32"/>
          <w:highlight w:val="none"/>
          <w:lang w:val="en-US" w:eastAsia="zh-CN"/>
        </w:rPr>
      </w:pPr>
      <w:r>
        <w:rPr>
          <w:rFonts w:hint="eastAsia" w:ascii="仿宋_GB2312" w:hAnsi="仿宋" w:eastAsia="仿宋_GB2312"/>
          <w:b w:val="0"/>
          <w:bCs w:val="0"/>
          <w:color w:val="auto"/>
          <w:sz w:val="32"/>
          <w:szCs w:val="32"/>
          <w:highlight w:val="none"/>
          <w:lang w:val="en-US" w:eastAsia="zh-CN"/>
        </w:rPr>
        <w:t>科技</w:t>
      </w:r>
      <w:r>
        <w:rPr>
          <w:rFonts w:hint="default" w:ascii="仿宋_GB2312" w:hAnsi="仿宋" w:eastAsia="仿宋_GB2312"/>
          <w:b w:val="0"/>
          <w:bCs w:val="0"/>
          <w:color w:val="auto"/>
          <w:sz w:val="32"/>
          <w:szCs w:val="32"/>
          <w:highlight w:val="none"/>
          <w:lang w:val="en-US" w:eastAsia="zh-CN"/>
        </w:rPr>
        <w:t>共同财政事权转移支付收入</w:t>
      </w:r>
      <w:r>
        <w:rPr>
          <w:rFonts w:hint="eastAsia" w:ascii="仿宋_GB2312" w:hAnsi="仿宋" w:eastAsia="仿宋_GB2312"/>
          <w:b w:val="0"/>
          <w:bCs w:val="0"/>
          <w:color w:val="auto"/>
          <w:sz w:val="32"/>
          <w:szCs w:val="32"/>
          <w:highlight w:val="none"/>
          <w:lang w:val="en-US" w:eastAsia="zh-CN"/>
        </w:rPr>
        <w:t xml:space="preserve">                20万元；</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572" w:firstLineChars="200"/>
        <w:jc w:val="both"/>
        <w:textAlignment w:val="auto"/>
        <w:rPr>
          <w:rFonts w:hint="eastAsia" w:ascii="仿宋_GB2312" w:hAnsi="仿宋" w:eastAsia="仿宋_GB2312"/>
          <w:b w:val="0"/>
          <w:bCs w:val="0"/>
          <w:color w:val="auto"/>
          <w:sz w:val="32"/>
          <w:szCs w:val="32"/>
          <w:highlight w:val="none"/>
          <w:lang w:val="en-US" w:eastAsia="zh-CN"/>
        </w:rPr>
      </w:pPr>
      <w:r>
        <w:rPr>
          <w:rFonts w:hint="default" w:ascii="仿宋_GB2312" w:hAnsi="仿宋" w:eastAsia="仿宋_GB2312"/>
          <w:b w:val="0"/>
          <w:bCs w:val="0"/>
          <w:color w:val="auto"/>
          <w:spacing w:val="-17"/>
          <w:sz w:val="32"/>
          <w:szCs w:val="32"/>
          <w:highlight w:val="none"/>
          <w:lang w:val="en-US" w:eastAsia="zh-CN"/>
        </w:rPr>
        <w:t>文化旅游体育与传媒共同财政事权转移支付收入</w:t>
      </w:r>
      <w:r>
        <w:rPr>
          <w:rFonts w:hint="default" w:ascii="仿宋_GB2312" w:hAnsi="仿宋" w:eastAsia="仿宋_GB2312"/>
          <w:b w:val="0"/>
          <w:bCs w:val="0"/>
          <w:color w:val="auto"/>
          <w:sz w:val="32"/>
          <w:szCs w:val="32"/>
          <w:highlight w:val="none"/>
          <w:lang w:val="en-US" w:eastAsia="zh-CN"/>
        </w:rPr>
        <w:t xml:space="preserve"> </w:t>
      </w:r>
      <w:r>
        <w:rPr>
          <w:rFonts w:hint="eastAsia" w:ascii="仿宋_GB2312" w:hAnsi="仿宋" w:eastAsia="仿宋_GB2312"/>
          <w:b w:val="0"/>
          <w:bCs w:val="0"/>
          <w:color w:val="auto"/>
          <w:sz w:val="32"/>
          <w:szCs w:val="32"/>
          <w:highlight w:val="none"/>
          <w:lang w:val="en-US" w:eastAsia="zh-CN"/>
        </w:rPr>
        <w:t xml:space="preserve">    1100万元；</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textAlignment w:val="auto"/>
        <w:rPr>
          <w:rFonts w:hint="eastAsia" w:ascii="仿宋_GB2312" w:hAnsi="仿宋" w:eastAsia="仿宋_GB2312"/>
          <w:b w:val="0"/>
          <w:bCs w:val="0"/>
          <w:color w:val="auto"/>
          <w:sz w:val="32"/>
          <w:szCs w:val="32"/>
          <w:highlight w:val="none"/>
          <w:lang w:val="en-US" w:eastAsia="zh-CN"/>
        </w:rPr>
      </w:pPr>
      <w:r>
        <w:rPr>
          <w:rFonts w:hint="eastAsia" w:ascii="仿宋_GB2312" w:hAnsi="仿宋" w:eastAsia="仿宋_GB2312"/>
          <w:b w:val="0"/>
          <w:bCs w:val="0"/>
          <w:color w:val="auto"/>
          <w:sz w:val="32"/>
          <w:szCs w:val="32"/>
          <w:highlight w:val="none"/>
          <w:lang w:val="en-US" w:eastAsia="zh-CN"/>
        </w:rPr>
        <w:t>社会保障和就业共同财政事权转移支付收入   32000万元；</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textAlignment w:val="auto"/>
        <w:rPr>
          <w:rFonts w:hint="eastAsia" w:ascii="仿宋_GB2312" w:hAnsi="仿宋" w:eastAsia="仿宋_GB2312"/>
          <w:b w:val="0"/>
          <w:bCs w:val="0"/>
          <w:color w:val="auto"/>
          <w:sz w:val="32"/>
          <w:szCs w:val="32"/>
          <w:highlight w:val="none"/>
          <w:lang w:val="en-US" w:eastAsia="zh-CN"/>
        </w:rPr>
      </w:pPr>
      <w:r>
        <w:rPr>
          <w:rFonts w:hint="default" w:ascii="仿宋_GB2312" w:hAnsi="仿宋" w:eastAsia="仿宋_GB2312"/>
          <w:b w:val="0"/>
          <w:bCs w:val="0"/>
          <w:color w:val="auto"/>
          <w:sz w:val="32"/>
          <w:szCs w:val="32"/>
          <w:highlight w:val="none"/>
          <w:lang w:val="en-US" w:eastAsia="zh-CN"/>
        </w:rPr>
        <w:t xml:space="preserve">医疗卫生共同财政事权转移支付收入 </w:t>
      </w:r>
      <w:r>
        <w:rPr>
          <w:rFonts w:hint="eastAsia" w:ascii="仿宋_GB2312" w:hAnsi="仿宋" w:eastAsia="仿宋_GB2312"/>
          <w:b w:val="0"/>
          <w:bCs w:val="0"/>
          <w:color w:val="auto"/>
          <w:sz w:val="32"/>
          <w:szCs w:val="32"/>
          <w:highlight w:val="none"/>
          <w:lang w:val="en-US" w:eastAsia="zh-CN"/>
        </w:rPr>
        <w:t xml:space="preserve">         3700万元；</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textAlignment w:val="auto"/>
        <w:rPr>
          <w:rFonts w:hint="eastAsia" w:ascii="仿宋_GB2312" w:hAnsi="仿宋" w:eastAsia="仿宋_GB2312"/>
          <w:b w:val="0"/>
          <w:bCs w:val="0"/>
          <w:color w:val="auto"/>
          <w:sz w:val="32"/>
          <w:szCs w:val="32"/>
          <w:highlight w:val="none"/>
          <w:lang w:val="en-US" w:eastAsia="zh-CN"/>
        </w:rPr>
      </w:pPr>
      <w:r>
        <w:rPr>
          <w:rFonts w:hint="default" w:ascii="仿宋_GB2312" w:hAnsi="仿宋" w:eastAsia="仿宋_GB2312"/>
          <w:b w:val="0"/>
          <w:bCs w:val="0"/>
          <w:color w:val="auto"/>
          <w:sz w:val="32"/>
          <w:szCs w:val="32"/>
          <w:highlight w:val="none"/>
          <w:lang w:val="en-US" w:eastAsia="zh-CN"/>
        </w:rPr>
        <w:t>节能环保共同财政事权转移支付收入</w:t>
      </w:r>
      <w:r>
        <w:rPr>
          <w:rFonts w:hint="eastAsia" w:ascii="仿宋_GB2312" w:hAnsi="仿宋" w:eastAsia="仿宋_GB2312"/>
          <w:b w:val="0"/>
          <w:bCs w:val="0"/>
          <w:color w:val="auto"/>
          <w:sz w:val="32"/>
          <w:szCs w:val="32"/>
          <w:highlight w:val="none"/>
          <w:lang w:val="en-US" w:eastAsia="zh-CN"/>
        </w:rPr>
        <w:t xml:space="preserve">           600万元；</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textAlignment w:val="auto"/>
        <w:rPr>
          <w:rFonts w:hint="default" w:ascii="仿宋_GB2312" w:hAnsi="仿宋" w:eastAsia="仿宋_GB2312"/>
          <w:b w:val="0"/>
          <w:bCs w:val="0"/>
          <w:color w:val="auto"/>
          <w:sz w:val="32"/>
          <w:szCs w:val="32"/>
          <w:highlight w:val="none"/>
          <w:lang w:val="en-US" w:eastAsia="zh-CN"/>
        </w:rPr>
      </w:pPr>
      <w:r>
        <w:rPr>
          <w:rFonts w:hint="eastAsia" w:ascii="仿宋_GB2312" w:hAnsi="仿宋" w:eastAsia="仿宋_GB2312"/>
          <w:b w:val="0"/>
          <w:bCs w:val="0"/>
          <w:color w:val="auto"/>
          <w:sz w:val="32"/>
          <w:szCs w:val="32"/>
          <w:highlight w:val="none"/>
          <w:lang w:val="en-US" w:eastAsia="zh-CN"/>
        </w:rPr>
        <w:t>城乡社区</w:t>
      </w:r>
      <w:r>
        <w:rPr>
          <w:rFonts w:hint="default" w:ascii="仿宋_GB2312" w:hAnsi="仿宋" w:eastAsia="仿宋_GB2312"/>
          <w:b w:val="0"/>
          <w:bCs w:val="0"/>
          <w:color w:val="auto"/>
          <w:sz w:val="32"/>
          <w:szCs w:val="32"/>
          <w:highlight w:val="none"/>
          <w:lang w:val="en-US" w:eastAsia="zh-CN"/>
        </w:rPr>
        <w:t>共同财政事权转移支付收入</w:t>
      </w:r>
      <w:r>
        <w:rPr>
          <w:rFonts w:hint="eastAsia" w:ascii="仿宋_GB2312" w:hAnsi="仿宋" w:eastAsia="仿宋_GB2312"/>
          <w:b w:val="0"/>
          <w:bCs w:val="0"/>
          <w:color w:val="auto"/>
          <w:sz w:val="32"/>
          <w:szCs w:val="32"/>
          <w:highlight w:val="none"/>
          <w:lang w:val="en-US" w:eastAsia="zh-CN"/>
        </w:rPr>
        <w:t xml:space="preserve">          2000万元；</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 w:eastAsia="仿宋_GB2312"/>
          <w:b w:val="0"/>
          <w:bCs w:val="0"/>
          <w:color w:val="auto"/>
          <w:sz w:val="32"/>
          <w:szCs w:val="32"/>
          <w:highlight w:val="none"/>
          <w:lang w:val="en-US" w:eastAsia="zh-CN"/>
        </w:rPr>
      </w:pPr>
      <w:r>
        <w:rPr>
          <w:rFonts w:hint="default" w:ascii="仿宋_GB2312" w:hAnsi="仿宋" w:eastAsia="仿宋_GB2312"/>
          <w:b w:val="0"/>
          <w:bCs w:val="0"/>
          <w:color w:val="auto"/>
          <w:sz w:val="32"/>
          <w:szCs w:val="32"/>
          <w:highlight w:val="none"/>
          <w:lang w:val="en-US" w:eastAsia="zh-CN"/>
        </w:rPr>
        <w:t xml:space="preserve">农林水共同财政事权转移支付收入 </w:t>
      </w:r>
      <w:r>
        <w:rPr>
          <w:rFonts w:hint="eastAsia" w:ascii="仿宋_GB2312" w:hAnsi="仿宋" w:eastAsia="仿宋_GB2312"/>
          <w:b w:val="0"/>
          <w:bCs w:val="0"/>
          <w:color w:val="auto"/>
          <w:sz w:val="32"/>
          <w:szCs w:val="32"/>
          <w:highlight w:val="none"/>
          <w:lang w:val="en-US" w:eastAsia="zh-CN"/>
        </w:rPr>
        <w:t xml:space="preserve">          21000万元；</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 w:eastAsia="仿宋_GB2312"/>
          <w:b w:val="0"/>
          <w:bCs w:val="0"/>
          <w:color w:val="auto"/>
          <w:sz w:val="32"/>
          <w:szCs w:val="32"/>
          <w:highlight w:val="none"/>
          <w:lang w:val="en-US" w:eastAsia="zh-CN"/>
        </w:rPr>
      </w:pPr>
      <w:r>
        <w:rPr>
          <w:rFonts w:hint="default" w:ascii="仿宋_GB2312" w:hAnsi="仿宋" w:eastAsia="仿宋_GB2312"/>
          <w:b w:val="0"/>
          <w:bCs w:val="0"/>
          <w:color w:val="auto"/>
          <w:sz w:val="32"/>
          <w:szCs w:val="32"/>
          <w:highlight w:val="none"/>
          <w:lang w:val="en-US" w:eastAsia="zh-CN"/>
        </w:rPr>
        <w:t>交通运输共同财政事权转移支付收入</w:t>
      </w:r>
      <w:r>
        <w:rPr>
          <w:rFonts w:hint="eastAsia" w:ascii="仿宋_GB2312" w:hAnsi="仿宋" w:eastAsia="仿宋_GB2312"/>
          <w:b w:val="0"/>
          <w:bCs w:val="0"/>
          <w:color w:val="auto"/>
          <w:sz w:val="32"/>
          <w:szCs w:val="32"/>
          <w:highlight w:val="none"/>
          <w:lang w:val="en-US" w:eastAsia="zh-CN"/>
        </w:rPr>
        <w:t xml:space="preserve">          2000万元；</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 w:eastAsia="仿宋_GB2312"/>
          <w:b w:val="0"/>
          <w:bCs w:val="0"/>
          <w:color w:val="auto"/>
          <w:sz w:val="32"/>
          <w:szCs w:val="32"/>
          <w:highlight w:val="none"/>
          <w:lang w:val="en-US" w:eastAsia="zh-CN"/>
        </w:rPr>
      </w:pPr>
      <w:r>
        <w:rPr>
          <w:rFonts w:hint="default" w:ascii="仿宋_GB2312" w:hAnsi="仿宋" w:eastAsia="仿宋_GB2312"/>
          <w:b w:val="0"/>
          <w:bCs w:val="0"/>
          <w:color w:val="auto"/>
          <w:sz w:val="32"/>
          <w:szCs w:val="32"/>
          <w:highlight w:val="none"/>
          <w:lang w:val="en-US" w:eastAsia="zh-CN"/>
        </w:rPr>
        <w:t>自然资源海洋气象等共同财政事权转移支付收</w:t>
      </w:r>
      <w:r>
        <w:rPr>
          <w:rFonts w:hint="eastAsia" w:ascii="仿宋_GB2312" w:hAnsi="仿宋" w:eastAsia="仿宋_GB2312"/>
          <w:b w:val="0"/>
          <w:bCs w:val="0"/>
          <w:color w:val="auto"/>
          <w:sz w:val="32"/>
          <w:szCs w:val="32"/>
          <w:highlight w:val="none"/>
          <w:lang w:val="en-US" w:eastAsia="zh-CN"/>
        </w:rPr>
        <w:t xml:space="preserve">   750万元；</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 w:eastAsia="仿宋_GB2312"/>
          <w:b w:val="0"/>
          <w:bCs w:val="0"/>
          <w:color w:val="auto"/>
          <w:sz w:val="32"/>
          <w:szCs w:val="32"/>
          <w:highlight w:val="none"/>
          <w:lang w:val="en-US" w:eastAsia="zh-CN"/>
        </w:rPr>
      </w:pPr>
      <w:r>
        <w:rPr>
          <w:rFonts w:hint="eastAsia" w:ascii="仿宋_GB2312" w:hAnsi="仿宋" w:eastAsia="仿宋_GB2312"/>
          <w:b w:val="0"/>
          <w:bCs w:val="0"/>
          <w:color w:val="auto"/>
          <w:sz w:val="32"/>
          <w:szCs w:val="32"/>
          <w:highlight w:val="none"/>
          <w:lang w:val="en-US" w:eastAsia="zh-CN"/>
        </w:rPr>
        <w:t>住房保障共同财政事权转移支付收入           500万元；</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 w:eastAsia="仿宋_GB2312"/>
          <w:b w:val="0"/>
          <w:bCs w:val="0"/>
          <w:color w:val="auto"/>
          <w:sz w:val="32"/>
          <w:szCs w:val="32"/>
          <w:highlight w:val="none"/>
          <w:lang w:val="en-US" w:eastAsia="zh-CN"/>
        </w:rPr>
      </w:pPr>
      <w:r>
        <w:rPr>
          <w:rFonts w:hint="eastAsia" w:ascii="仿宋_GB2312" w:hAnsi="仿宋" w:eastAsia="仿宋_GB2312"/>
          <w:b w:val="0"/>
          <w:bCs w:val="0"/>
          <w:color w:val="auto"/>
          <w:sz w:val="32"/>
          <w:szCs w:val="32"/>
          <w:highlight w:val="none"/>
          <w:lang w:val="en-US" w:eastAsia="zh-CN"/>
        </w:rPr>
        <w:t>灾害防治及应急管理共同财政事权转移支付收入 200万元；</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其他共同财政事权转移支付收入</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10万元</w:t>
      </w:r>
      <w:r>
        <w:rPr>
          <w:rFonts w:hint="eastAsia" w:ascii="仿宋" w:hAnsi="仿宋" w:eastAsia="仿宋" w:cs="仿宋"/>
          <w:color w:val="auto"/>
          <w:sz w:val="32"/>
          <w:szCs w:val="32"/>
          <w:lang w:eastAsia="zh-CN"/>
        </w:rPr>
        <w:t>；</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仿宋" w:cs="楷体"/>
          <w:b w:val="0"/>
          <w:bCs w:val="0"/>
          <w:color w:val="auto"/>
          <w:sz w:val="32"/>
          <w:szCs w:val="32"/>
          <w:highlight w:val="none"/>
          <w:lang w:val="en-US" w:eastAsia="zh-CN"/>
        </w:rPr>
      </w:pPr>
      <w:r>
        <w:rPr>
          <w:rFonts w:hint="eastAsia" w:ascii="仿宋" w:hAnsi="仿宋" w:eastAsia="仿宋" w:cs="仿宋"/>
          <w:color w:val="auto"/>
          <w:sz w:val="32"/>
          <w:szCs w:val="32"/>
        </w:rPr>
        <w:t>其他一般性转移支付收入</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150万元</w:t>
      </w:r>
      <w:r>
        <w:rPr>
          <w:rFonts w:hint="eastAsia" w:ascii="仿宋" w:hAnsi="仿宋" w:eastAsia="仿宋" w:cs="仿宋"/>
          <w:color w:val="auto"/>
          <w:sz w:val="32"/>
          <w:szCs w:val="32"/>
          <w:lang w:eastAsia="zh-CN"/>
        </w:rPr>
        <w:t>；</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专项转移支付收入                        103000万元。</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 w:eastAsia="仿宋_GB2312"/>
          <w:b/>
          <w:bCs/>
          <w:color w:val="auto"/>
          <w:sz w:val="32"/>
          <w:szCs w:val="32"/>
          <w:highlight w:val="none"/>
          <w:lang w:val="en-US" w:eastAsia="zh-CN"/>
        </w:rPr>
      </w:pPr>
      <w:r>
        <w:rPr>
          <w:rFonts w:hint="eastAsia" w:ascii="仿宋_GB2312" w:hAnsi="仿宋" w:eastAsia="仿宋_GB2312"/>
          <w:b/>
          <w:bCs/>
          <w:color w:val="auto"/>
          <w:sz w:val="32"/>
          <w:szCs w:val="32"/>
          <w:highlight w:val="none"/>
          <w:lang w:val="en-US" w:eastAsia="zh-CN"/>
        </w:rPr>
        <w:t>上年结余收入                              3500万元；</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 w:eastAsia="仿宋_GB2312"/>
          <w:b/>
          <w:bCs/>
          <w:color w:val="auto"/>
          <w:sz w:val="32"/>
          <w:szCs w:val="32"/>
          <w:highlight w:val="none"/>
          <w:lang w:val="en-US" w:eastAsia="zh-CN"/>
        </w:rPr>
      </w:pPr>
      <w:r>
        <w:rPr>
          <w:rFonts w:hint="eastAsia" w:ascii="仿宋_GB2312" w:hAnsi="仿宋" w:eastAsia="仿宋_GB2312"/>
          <w:b/>
          <w:bCs/>
          <w:color w:val="auto"/>
          <w:sz w:val="32"/>
          <w:szCs w:val="32"/>
          <w:highlight w:val="none"/>
          <w:lang w:val="en-US" w:eastAsia="zh-CN"/>
        </w:rPr>
        <w:t>债务转贷收入                             14581万元；</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 w:eastAsia="仿宋_GB2312"/>
          <w:b/>
          <w:bCs/>
          <w:color w:val="auto"/>
          <w:sz w:val="32"/>
          <w:szCs w:val="32"/>
          <w:highlight w:val="none"/>
          <w:lang w:val="en-US" w:eastAsia="zh-CN"/>
        </w:rPr>
      </w:pPr>
      <w:r>
        <w:rPr>
          <w:rFonts w:hint="default" w:ascii="仿宋_GB2312" w:hAnsi="仿宋" w:eastAsia="仿宋_GB2312"/>
          <w:b/>
          <w:bCs/>
          <w:color w:val="auto"/>
          <w:sz w:val="32"/>
          <w:szCs w:val="32"/>
          <w:highlight w:val="none"/>
          <w:lang w:val="en-US" w:eastAsia="zh-CN"/>
        </w:rPr>
        <w:t>动用预算稳定调节基金</w:t>
      </w:r>
      <w:r>
        <w:rPr>
          <w:rFonts w:hint="eastAsia" w:ascii="仿宋_GB2312" w:hAnsi="仿宋" w:eastAsia="仿宋_GB2312"/>
          <w:b/>
          <w:bCs/>
          <w:color w:val="auto"/>
          <w:sz w:val="32"/>
          <w:szCs w:val="32"/>
          <w:highlight w:val="none"/>
          <w:lang w:val="en-US" w:eastAsia="zh-CN"/>
        </w:rPr>
        <w:t xml:space="preserve">                     20185万元；</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2" w:firstLineChars="200"/>
        <w:textAlignment w:val="auto"/>
        <w:rPr>
          <w:rFonts w:hint="eastAsia" w:ascii="仿宋_GB2312" w:hAnsi="仿宋" w:eastAsia="仿宋_GB2312"/>
          <w:b/>
          <w:bCs/>
          <w:color w:val="auto"/>
          <w:sz w:val="32"/>
          <w:szCs w:val="32"/>
          <w:highlight w:val="none"/>
          <w:lang w:val="en-US" w:eastAsia="zh-CN"/>
        </w:rPr>
      </w:pPr>
      <w:r>
        <w:rPr>
          <w:rFonts w:hint="eastAsia" w:ascii="仿宋_GB2312" w:hAnsi="仿宋" w:eastAsia="仿宋_GB2312"/>
          <w:b/>
          <w:bCs/>
          <w:color w:val="auto"/>
          <w:sz w:val="32"/>
          <w:szCs w:val="32"/>
          <w:highlight w:val="none"/>
          <w:lang w:val="en-US" w:eastAsia="zh-CN"/>
        </w:rPr>
        <w:t>2.一般公共预算</w:t>
      </w:r>
      <w:r>
        <w:rPr>
          <w:rFonts w:hint="eastAsia" w:ascii="仿宋_GB2312" w:hAnsi="仿宋" w:eastAsia="仿宋_GB2312"/>
          <w:b/>
          <w:bCs/>
          <w:color w:val="auto"/>
          <w:sz w:val="32"/>
          <w:szCs w:val="32"/>
          <w:highlight w:val="none"/>
        </w:rPr>
        <w:t>支出</w:t>
      </w:r>
      <w:r>
        <w:rPr>
          <w:rFonts w:hint="eastAsia" w:ascii="仿宋_GB2312" w:hAnsi="仿宋" w:eastAsia="仿宋_GB2312"/>
          <w:b/>
          <w:bCs/>
          <w:color w:val="auto"/>
          <w:sz w:val="32"/>
          <w:szCs w:val="32"/>
          <w:highlight w:val="none"/>
          <w:lang w:val="en-US" w:eastAsia="zh-CN"/>
        </w:rPr>
        <w:t>安排</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2" w:firstLineChars="200"/>
        <w:textAlignment w:val="auto"/>
        <w:rPr>
          <w:rFonts w:hint="eastAsia" w:ascii="仿宋_GB2312" w:hAnsi="仿宋" w:eastAsia="仿宋_GB2312"/>
          <w:b/>
          <w:bCs/>
          <w:color w:val="auto"/>
          <w:sz w:val="32"/>
          <w:szCs w:val="32"/>
          <w:highlight w:val="none"/>
          <w:lang w:eastAsia="zh-CN"/>
        </w:rPr>
      </w:pPr>
      <w:r>
        <w:rPr>
          <w:rFonts w:hint="eastAsia" w:ascii="仿宋_GB2312" w:hAnsi="仿宋" w:eastAsia="仿宋_GB2312"/>
          <w:b/>
          <w:bCs/>
          <w:color w:val="auto"/>
          <w:sz w:val="32"/>
          <w:szCs w:val="32"/>
          <w:highlight w:val="none"/>
          <w:lang w:val="en-US" w:eastAsia="zh-CN"/>
        </w:rPr>
        <w:t>2026年一般公共预算</w:t>
      </w:r>
      <w:r>
        <w:rPr>
          <w:rFonts w:hint="eastAsia" w:ascii="仿宋_GB2312" w:hAnsi="仿宋" w:eastAsia="仿宋_GB2312"/>
          <w:b/>
          <w:bCs/>
          <w:color w:val="auto"/>
          <w:sz w:val="32"/>
          <w:szCs w:val="32"/>
          <w:highlight w:val="none"/>
        </w:rPr>
        <w:t>支出</w:t>
      </w:r>
      <w:r>
        <w:rPr>
          <w:rFonts w:hint="eastAsia" w:ascii="仿宋_GB2312" w:hAnsi="仿宋" w:eastAsia="仿宋_GB2312"/>
          <w:b/>
          <w:bCs/>
          <w:color w:val="auto"/>
          <w:sz w:val="32"/>
          <w:szCs w:val="32"/>
          <w:highlight w:val="none"/>
          <w:lang w:val="en-US" w:eastAsia="zh-CN"/>
        </w:rPr>
        <w:t>计划安排338783</w:t>
      </w:r>
      <w:r>
        <w:rPr>
          <w:rFonts w:hint="eastAsia" w:ascii="仿宋_GB2312" w:hAnsi="仿宋" w:eastAsia="仿宋_GB2312"/>
          <w:b/>
          <w:bCs/>
          <w:color w:val="auto"/>
          <w:sz w:val="32"/>
          <w:szCs w:val="32"/>
          <w:highlight w:val="none"/>
        </w:rPr>
        <w:t>万元，全年主要支出项目是</w:t>
      </w:r>
      <w:r>
        <w:rPr>
          <w:rFonts w:hint="eastAsia" w:ascii="仿宋_GB2312" w:hAnsi="仿宋" w:eastAsia="仿宋_GB2312"/>
          <w:b/>
          <w:bCs/>
          <w:color w:val="auto"/>
          <w:sz w:val="32"/>
          <w:szCs w:val="32"/>
          <w:highlight w:val="none"/>
          <w:lang w:eastAsia="zh-CN"/>
        </w:rPr>
        <w:t>：</w:t>
      </w:r>
    </w:p>
    <w:p>
      <w:pPr>
        <w:keepNext w:val="0"/>
        <w:keepLines w:val="0"/>
        <w:pageBreakBefore w:val="0"/>
        <w:numPr>
          <w:ilvl w:val="0"/>
          <w:numId w:val="0"/>
        </w:numPr>
        <w:pBdr>
          <w:bottom w:val="single" w:color="FFFFFF" w:sz="4" w:space="31"/>
        </w:pBdr>
        <w:kinsoku/>
        <w:wordWrap/>
        <w:overflowPunct/>
        <w:autoSpaceDE/>
        <w:autoSpaceDN/>
        <w:bidi w:val="0"/>
        <w:spacing w:beforeLines="0" w:afterLines="0" w:line="60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一般公共服务</w:t>
      </w:r>
      <w:r>
        <w:rPr>
          <w:rFonts w:hint="eastAsia" w:ascii="仿宋_GB2312" w:hAnsi="仿宋_GB2312" w:eastAsia="仿宋_GB2312" w:cs="仿宋_GB2312"/>
          <w:b w:val="0"/>
          <w:bCs/>
          <w:color w:val="auto"/>
          <w:sz w:val="32"/>
          <w:szCs w:val="32"/>
          <w:lang w:val="en-US" w:eastAsia="zh-CN"/>
        </w:rPr>
        <w:t>支出</w:t>
      </w:r>
      <w:r>
        <w:rPr>
          <w:rFonts w:hint="eastAsia" w:ascii="仿宋_GB2312" w:hAnsi="仿宋_GB2312" w:eastAsia="仿宋_GB2312" w:cs="仿宋_GB2312"/>
          <w:b w:val="0"/>
          <w:bCs/>
          <w:color w:val="auto"/>
          <w:sz w:val="32"/>
          <w:szCs w:val="32"/>
        </w:rPr>
        <w:t xml:space="preserve">                  </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 xml:space="preserve"> </w:t>
      </w:r>
      <w:r>
        <w:rPr>
          <w:rFonts w:hint="eastAsia" w:ascii="仿宋_GB2312" w:hAnsi="仿宋_GB2312" w:eastAsia="仿宋_GB2312" w:cs="仿宋_GB2312"/>
          <w:b w:val="0"/>
          <w:bCs/>
          <w:color w:val="auto"/>
          <w:sz w:val="32"/>
          <w:szCs w:val="32"/>
          <w:lang w:val="en-US" w:eastAsia="zh-CN"/>
        </w:rPr>
        <w:t xml:space="preserve">    39300</w:t>
      </w:r>
      <w:r>
        <w:rPr>
          <w:rFonts w:hint="eastAsia" w:ascii="仿宋_GB2312" w:hAnsi="仿宋_GB2312" w:eastAsia="仿宋_GB2312" w:cs="仿宋_GB2312"/>
          <w:b w:val="0"/>
          <w:bCs/>
          <w:color w:val="auto"/>
          <w:sz w:val="32"/>
          <w:szCs w:val="32"/>
        </w:rPr>
        <w:t>万元；</w:t>
      </w:r>
    </w:p>
    <w:p>
      <w:pPr>
        <w:keepNext w:val="0"/>
        <w:keepLines w:val="0"/>
        <w:pageBreakBefore w:val="0"/>
        <w:numPr>
          <w:ilvl w:val="0"/>
          <w:numId w:val="0"/>
        </w:numPr>
        <w:pBdr>
          <w:bottom w:val="single" w:color="FFFFFF" w:sz="4" w:space="31"/>
        </w:pBdr>
        <w:kinsoku/>
        <w:wordWrap/>
        <w:overflowPunct/>
        <w:autoSpaceDE/>
        <w:autoSpaceDN/>
        <w:bidi w:val="0"/>
        <w:spacing w:beforeLines="0" w:afterLines="0" w:line="600" w:lineRule="exact"/>
        <w:ind w:firstLine="640" w:firstLineChars="200"/>
        <w:textAlignment w:val="auto"/>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国防支出                                    80万元；</w:t>
      </w:r>
    </w:p>
    <w:p>
      <w:pPr>
        <w:keepNext w:val="0"/>
        <w:keepLines w:val="0"/>
        <w:pageBreakBefore w:val="0"/>
        <w:numPr>
          <w:ilvl w:val="0"/>
          <w:numId w:val="0"/>
        </w:numPr>
        <w:pBdr>
          <w:bottom w:val="single" w:color="FFFFFF" w:sz="4" w:space="31"/>
        </w:pBdr>
        <w:kinsoku/>
        <w:wordWrap/>
        <w:overflowPunct/>
        <w:autoSpaceDE/>
        <w:autoSpaceDN/>
        <w:bidi w:val="0"/>
        <w:spacing w:beforeLines="0" w:afterLines="0" w:line="60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公共安全</w:t>
      </w:r>
      <w:r>
        <w:rPr>
          <w:rFonts w:hint="eastAsia" w:ascii="仿宋_GB2312" w:hAnsi="仿宋_GB2312" w:eastAsia="仿宋_GB2312" w:cs="仿宋_GB2312"/>
          <w:b w:val="0"/>
          <w:bCs/>
          <w:color w:val="auto"/>
          <w:sz w:val="32"/>
          <w:szCs w:val="32"/>
          <w:lang w:val="en-US" w:eastAsia="zh-CN"/>
        </w:rPr>
        <w:t>支出</w:t>
      </w:r>
      <w:r>
        <w:rPr>
          <w:rFonts w:hint="eastAsia" w:ascii="仿宋_GB2312" w:hAnsi="仿宋_GB2312" w:eastAsia="仿宋_GB2312" w:cs="仿宋_GB2312"/>
          <w:b w:val="0"/>
          <w:bCs/>
          <w:color w:val="auto"/>
          <w:sz w:val="32"/>
          <w:szCs w:val="32"/>
        </w:rPr>
        <w:t xml:space="preserve">                          </w:t>
      </w:r>
      <w:r>
        <w:rPr>
          <w:rFonts w:hint="eastAsia" w:ascii="仿宋_GB2312" w:hAnsi="仿宋_GB2312" w:eastAsia="仿宋_GB2312" w:cs="仿宋_GB2312"/>
          <w:b w:val="0"/>
          <w:bCs/>
          <w:color w:val="auto"/>
          <w:sz w:val="32"/>
          <w:szCs w:val="32"/>
          <w:lang w:val="en-US" w:eastAsia="zh-CN"/>
        </w:rPr>
        <w:t xml:space="preserve">   13200</w:t>
      </w:r>
      <w:r>
        <w:rPr>
          <w:rFonts w:hint="eastAsia" w:ascii="仿宋_GB2312" w:hAnsi="仿宋_GB2312" w:eastAsia="仿宋_GB2312" w:cs="仿宋_GB2312"/>
          <w:b w:val="0"/>
          <w:bCs/>
          <w:color w:val="auto"/>
          <w:sz w:val="32"/>
          <w:szCs w:val="32"/>
        </w:rPr>
        <w:t>万元；</w:t>
      </w:r>
    </w:p>
    <w:p>
      <w:pPr>
        <w:keepNext w:val="0"/>
        <w:keepLines w:val="0"/>
        <w:pageBreakBefore w:val="0"/>
        <w:numPr>
          <w:ilvl w:val="0"/>
          <w:numId w:val="0"/>
        </w:numPr>
        <w:pBdr>
          <w:bottom w:val="single" w:color="FFFFFF" w:sz="4" w:space="31"/>
        </w:pBdr>
        <w:kinsoku/>
        <w:wordWrap/>
        <w:overflowPunct/>
        <w:autoSpaceDE/>
        <w:autoSpaceDN/>
        <w:bidi w:val="0"/>
        <w:spacing w:beforeLines="0" w:afterLines="0" w:line="60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 xml:space="preserve">教育支出                          </w:t>
      </w:r>
      <w:r>
        <w:rPr>
          <w:rFonts w:hint="eastAsia" w:ascii="仿宋_GB2312" w:hAnsi="仿宋_GB2312" w:eastAsia="仿宋_GB2312" w:cs="仿宋_GB2312"/>
          <w:b w:val="0"/>
          <w:bCs/>
          <w:color w:val="auto"/>
          <w:sz w:val="32"/>
          <w:szCs w:val="32"/>
          <w:lang w:val="en-US" w:eastAsia="zh-CN"/>
        </w:rPr>
        <w:t xml:space="preserve">       30550</w:t>
      </w:r>
      <w:r>
        <w:rPr>
          <w:rFonts w:hint="eastAsia" w:ascii="仿宋_GB2312" w:hAnsi="仿宋_GB2312" w:eastAsia="仿宋_GB2312" w:cs="仿宋_GB2312"/>
          <w:b w:val="0"/>
          <w:bCs/>
          <w:color w:val="auto"/>
          <w:sz w:val="32"/>
          <w:szCs w:val="32"/>
        </w:rPr>
        <w:t>万元；</w:t>
      </w:r>
    </w:p>
    <w:p>
      <w:pPr>
        <w:keepNext w:val="0"/>
        <w:keepLines w:val="0"/>
        <w:pageBreakBefore w:val="0"/>
        <w:numPr>
          <w:ilvl w:val="0"/>
          <w:numId w:val="0"/>
        </w:numPr>
        <w:pBdr>
          <w:bottom w:val="single" w:color="FFFFFF" w:sz="4" w:space="31"/>
        </w:pBdr>
        <w:kinsoku/>
        <w:wordWrap/>
        <w:overflowPunct/>
        <w:autoSpaceDE/>
        <w:autoSpaceDN/>
        <w:bidi w:val="0"/>
        <w:spacing w:beforeLines="0" w:afterLines="0" w:line="60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科学技术</w:t>
      </w:r>
      <w:r>
        <w:rPr>
          <w:rFonts w:hint="eastAsia" w:ascii="仿宋_GB2312" w:hAnsi="仿宋_GB2312" w:eastAsia="仿宋_GB2312" w:cs="仿宋_GB2312"/>
          <w:b w:val="0"/>
          <w:bCs/>
          <w:color w:val="auto"/>
          <w:sz w:val="32"/>
          <w:szCs w:val="32"/>
          <w:lang w:val="en-US" w:eastAsia="zh-CN"/>
        </w:rPr>
        <w:t>支出</w:t>
      </w:r>
      <w:r>
        <w:rPr>
          <w:rFonts w:hint="eastAsia" w:ascii="仿宋_GB2312" w:hAnsi="仿宋_GB2312" w:eastAsia="仿宋_GB2312" w:cs="仿宋_GB2312"/>
          <w:b w:val="0"/>
          <w:bCs/>
          <w:color w:val="auto"/>
          <w:sz w:val="32"/>
          <w:szCs w:val="32"/>
        </w:rPr>
        <w:t xml:space="preserve">                      </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 xml:space="preserve">  </w:t>
      </w:r>
      <w:r>
        <w:rPr>
          <w:rFonts w:hint="eastAsia" w:ascii="仿宋_GB2312" w:hAnsi="仿宋_GB2312" w:eastAsia="仿宋_GB2312" w:cs="仿宋_GB2312"/>
          <w:b w:val="0"/>
          <w:bCs/>
          <w:color w:val="auto"/>
          <w:sz w:val="32"/>
          <w:szCs w:val="32"/>
          <w:lang w:val="en-US" w:eastAsia="zh-CN"/>
        </w:rPr>
        <w:t xml:space="preserve">    130</w:t>
      </w:r>
      <w:r>
        <w:rPr>
          <w:rFonts w:hint="eastAsia" w:ascii="仿宋_GB2312" w:hAnsi="仿宋_GB2312" w:eastAsia="仿宋_GB2312" w:cs="仿宋_GB2312"/>
          <w:b w:val="0"/>
          <w:bCs/>
          <w:color w:val="auto"/>
          <w:sz w:val="32"/>
          <w:szCs w:val="32"/>
        </w:rPr>
        <w:t>万元；</w:t>
      </w:r>
    </w:p>
    <w:p>
      <w:pPr>
        <w:keepNext w:val="0"/>
        <w:keepLines w:val="0"/>
        <w:pageBreakBefore w:val="0"/>
        <w:numPr>
          <w:ilvl w:val="0"/>
          <w:numId w:val="0"/>
        </w:numPr>
        <w:pBdr>
          <w:bottom w:val="single" w:color="FFFFFF" w:sz="4" w:space="31"/>
        </w:pBdr>
        <w:kinsoku/>
        <w:wordWrap/>
        <w:overflowPunct/>
        <w:autoSpaceDE/>
        <w:autoSpaceDN/>
        <w:bidi w:val="0"/>
        <w:spacing w:beforeLines="0" w:afterLines="0" w:line="60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文化旅游体育与传媒</w:t>
      </w:r>
      <w:r>
        <w:rPr>
          <w:rFonts w:hint="eastAsia" w:ascii="仿宋_GB2312" w:hAnsi="仿宋_GB2312" w:eastAsia="仿宋_GB2312" w:cs="仿宋_GB2312"/>
          <w:b w:val="0"/>
          <w:bCs/>
          <w:color w:val="auto"/>
          <w:sz w:val="32"/>
          <w:szCs w:val="32"/>
          <w:lang w:val="en-US" w:eastAsia="zh-CN"/>
        </w:rPr>
        <w:t>支出</w:t>
      </w:r>
      <w:r>
        <w:rPr>
          <w:rFonts w:hint="eastAsia" w:ascii="仿宋_GB2312" w:hAnsi="仿宋_GB2312" w:eastAsia="仿宋_GB2312" w:cs="仿宋_GB2312"/>
          <w:b w:val="0"/>
          <w:bCs/>
          <w:color w:val="auto"/>
          <w:sz w:val="32"/>
          <w:szCs w:val="32"/>
        </w:rPr>
        <w:t xml:space="preserve">              </w:t>
      </w:r>
      <w:r>
        <w:rPr>
          <w:rFonts w:hint="eastAsia" w:ascii="仿宋_GB2312" w:hAnsi="仿宋_GB2312" w:eastAsia="仿宋_GB2312" w:cs="仿宋_GB2312"/>
          <w:b w:val="0"/>
          <w:bCs/>
          <w:color w:val="auto"/>
          <w:sz w:val="32"/>
          <w:szCs w:val="32"/>
          <w:lang w:val="en-US" w:eastAsia="zh-CN"/>
        </w:rPr>
        <w:t xml:space="preserve">      7690</w:t>
      </w:r>
      <w:r>
        <w:rPr>
          <w:rFonts w:hint="eastAsia" w:ascii="仿宋_GB2312" w:hAnsi="仿宋_GB2312" w:eastAsia="仿宋_GB2312" w:cs="仿宋_GB2312"/>
          <w:b w:val="0"/>
          <w:bCs/>
          <w:color w:val="auto"/>
          <w:sz w:val="32"/>
          <w:szCs w:val="32"/>
        </w:rPr>
        <w:t>万元；</w:t>
      </w:r>
    </w:p>
    <w:p>
      <w:pPr>
        <w:keepNext w:val="0"/>
        <w:keepLines w:val="0"/>
        <w:pageBreakBefore w:val="0"/>
        <w:numPr>
          <w:ilvl w:val="0"/>
          <w:numId w:val="0"/>
        </w:numPr>
        <w:pBdr>
          <w:bottom w:val="single" w:color="FFFFFF" w:sz="4" w:space="31"/>
        </w:pBdr>
        <w:kinsoku/>
        <w:wordWrap/>
        <w:overflowPunct/>
        <w:autoSpaceDE/>
        <w:autoSpaceDN/>
        <w:bidi w:val="0"/>
        <w:spacing w:beforeLines="0" w:afterLines="0" w:line="60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社会保障和就业</w:t>
      </w:r>
      <w:r>
        <w:rPr>
          <w:rFonts w:hint="eastAsia" w:ascii="仿宋_GB2312" w:hAnsi="仿宋_GB2312" w:eastAsia="仿宋_GB2312" w:cs="仿宋_GB2312"/>
          <w:b w:val="0"/>
          <w:bCs/>
          <w:color w:val="auto"/>
          <w:sz w:val="32"/>
          <w:szCs w:val="32"/>
          <w:lang w:val="en-US" w:eastAsia="zh-CN"/>
        </w:rPr>
        <w:t>支出</w:t>
      </w:r>
      <w:r>
        <w:rPr>
          <w:rFonts w:hint="eastAsia" w:ascii="仿宋_GB2312" w:hAnsi="仿宋_GB2312" w:eastAsia="仿宋_GB2312" w:cs="仿宋_GB2312"/>
          <w:b w:val="0"/>
          <w:bCs/>
          <w:color w:val="auto"/>
          <w:sz w:val="32"/>
          <w:szCs w:val="32"/>
        </w:rPr>
        <w:t xml:space="preserve">                 </w:t>
      </w:r>
      <w:r>
        <w:rPr>
          <w:rFonts w:hint="eastAsia" w:ascii="仿宋_GB2312" w:hAnsi="仿宋_GB2312" w:eastAsia="仿宋_GB2312" w:cs="仿宋_GB2312"/>
          <w:b w:val="0"/>
          <w:bCs/>
          <w:color w:val="auto"/>
          <w:sz w:val="32"/>
          <w:szCs w:val="32"/>
          <w:lang w:val="en-US" w:eastAsia="zh-CN"/>
        </w:rPr>
        <w:t xml:space="preserve">      72523</w:t>
      </w:r>
      <w:r>
        <w:rPr>
          <w:rFonts w:hint="eastAsia" w:ascii="仿宋_GB2312" w:hAnsi="仿宋_GB2312" w:eastAsia="仿宋_GB2312" w:cs="仿宋_GB2312"/>
          <w:b w:val="0"/>
          <w:bCs/>
          <w:color w:val="auto"/>
          <w:sz w:val="32"/>
          <w:szCs w:val="32"/>
        </w:rPr>
        <w:t>万元；</w:t>
      </w:r>
    </w:p>
    <w:p>
      <w:pPr>
        <w:keepNext w:val="0"/>
        <w:keepLines w:val="0"/>
        <w:pageBreakBefore w:val="0"/>
        <w:numPr>
          <w:ilvl w:val="0"/>
          <w:numId w:val="0"/>
        </w:numPr>
        <w:pBdr>
          <w:bottom w:val="single" w:color="FFFFFF" w:sz="4" w:space="31"/>
        </w:pBdr>
        <w:kinsoku/>
        <w:wordWrap/>
        <w:overflowPunct/>
        <w:autoSpaceDE/>
        <w:autoSpaceDN/>
        <w:bidi w:val="0"/>
        <w:spacing w:beforeLines="0" w:afterLines="0" w:line="60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卫生健康</w:t>
      </w:r>
      <w:r>
        <w:rPr>
          <w:rFonts w:hint="eastAsia" w:ascii="仿宋_GB2312" w:hAnsi="仿宋_GB2312" w:eastAsia="仿宋_GB2312" w:cs="仿宋_GB2312"/>
          <w:b w:val="0"/>
          <w:bCs/>
          <w:color w:val="auto"/>
          <w:sz w:val="32"/>
          <w:szCs w:val="32"/>
          <w:lang w:val="en-US" w:eastAsia="zh-CN"/>
        </w:rPr>
        <w:t>支出</w:t>
      </w:r>
      <w:r>
        <w:rPr>
          <w:rFonts w:hint="eastAsia" w:ascii="仿宋_GB2312" w:hAnsi="仿宋_GB2312" w:eastAsia="仿宋_GB2312" w:cs="仿宋_GB2312"/>
          <w:b w:val="0"/>
          <w:bCs/>
          <w:color w:val="auto"/>
          <w:sz w:val="32"/>
          <w:szCs w:val="32"/>
        </w:rPr>
        <w:t xml:space="preserve">                        </w:t>
      </w:r>
      <w:r>
        <w:rPr>
          <w:rFonts w:hint="eastAsia" w:ascii="仿宋_GB2312" w:hAnsi="仿宋_GB2312" w:eastAsia="仿宋_GB2312" w:cs="仿宋_GB2312"/>
          <w:b w:val="0"/>
          <w:bCs/>
          <w:color w:val="auto"/>
          <w:sz w:val="32"/>
          <w:szCs w:val="32"/>
          <w:lang w:val="en-US" w:eastAsia="zh-CN"/>
        </w:rPr>
        <w:t xml:space="preserve">     15625</w:t>
      </w:r>
      <w:r>
        <w:rPr>
          <w:rFonts w:hint="eastAsia" w:ascii="仿宋_GB2312" w:hAnsi="仿宋_GB2312" w:eastAsia="仿宋_GB2312" w:cs="仿宋_GB2312"/>
          <w:b w:val="0"/>
          <w:bCs/>
          <w:color w:val="auto"/>
          <w:sz w:val="32"/>
          <w:szCs w:val="32"/>
        </w:rPr>
        <w:t>万元；</w:t>
      </w:r>
    </w:p>
    <w:p>
      <w:pPr>
        <w:keepNext w:val="0"/>
        <w:keepLines w:val="0"/>
        <w:pageBreakBefore w:val="0"/>
        <w:numPr>
          <w:ilvl w:val="0"/>
          <w:numId w:val="0"/>
        </w:numPr>
        <w:pBdr>
          <w:bottom w:val="single" w:color="FFFFFF" w:sz="4" w:space="31"/>
        </w:pBdr>
        <w:kinsoku/>
        <w:wordWrap/>
        <w:overflowPunct/>
        <w:autoSpaceDE/>
        <w:autoSpaceDN/>
        <w:bidi w:val="0"/>
        <w:spacing w:beforeLines="0" w:afterLines="0" w:line="60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节能环保</w:t>
      </w:r>
      <w:r>
        <w:rPr>
          <w:rFonts w:hint="eastAsia" w:ascii="仿宋_GB2312" w:hAnsi="仿宋_GB2312" w:eastAsia="仿宋_GB2312" w:cs="仿宋_GB2312"/>
          <w:b w:val="0"/>
          <w:bCs/>
          <w:color w:val="auto"/>
          <w:sz w:val="32"/>
          <w:szCs w:val="32"/>
          <w:lang w:val="en-US" w:eastAsia="zh-CN"/>
        </w:rPr>
        <w:t>支出</w:t>
      </w:r>
      <w:r>
        <w:rPr>
          <w:rFonts w:hint="eastAsia" w:ascii="仿宋_GB2312" w:hAnsi="仿宋_GB2312" w:eastAsia="仿宋_GB2312" w:cs="仿宋_GB2312"/>
          <w:b w:val="0"/>
          <w:bCs/>
          <w:color w:val="auto"/>
          <w:sz w:val="32"/>
          <w:szCs w:val="32"/>
        </w:rPr>
        <w:t xml:space="preserve">                          </w:t>
      </w:r>
      <w:r>
        <w:rPr>
          <w:rFonts w:hint="eastAsia" w:ascii="仿宋_GB2312" w:hAnsi="仿宋_GB2312" w:eastAsia="仿宋_GB2312" w:cs="仿宋_GB2312"/>
          <w:b w:val="0"/>
          <w:bCs/>
          <w:color w:val="auto"/>
          <w:sz w:val="32"/>
          <w:szCs w:val="32"/>
          <w:lang w:val="en-US" w:eastAsia="zh-CN"/>
        </w:rPr>
        <w:t xml:space="preserve">   10740</w:t>
      </w:r>
      <w:r>
        <w:rPr>
          <w:rFonts w:hint="eastAsia" w:ascii="仿宋_GB2312" w:hAnsi="仿宋_GB2312" w:eastAsia="仿宋_GB2312" w:cs="仿宋_GB2312"/>
          <w:b w:val="0"/>
          <w:bCs/>
          <w:color w:val="auto"/>
          <w:sz w:val="32"/>
          <w:szCs w:val="32"/>
        </w:rPr>
        <w:t>万元；</w:t>
      </w:r>
    </w:p>
    <w:p>
      <w:pPr>
        <w:keepNext w:val="0"/>
        <w:keepLines w:val="0"/>
        <w:pageBreakBefore w:val="0"/>
        <w:numPr>
          <w:ilvl w:val="0"/>
          <w:numId w:val="0"/>
        </w:numPr>
        <w:pBdr>
          <w:bottom w:val="single" w:color="FFFFFF" w:sz="4" w:space="31"/>
        </w:pBdr>
        <w:kinsoku/>
        <w:wordWrap/>
        <w:overflowPunct/>
        <w:autoSpaceDE/>
        <w:autoSpaceDN/>
        <w:bidi w:val="0"/>
        <w:spacing w:beforeLines="0" w:afterLines="0" w:line="60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城乡社区事务</w:t>
      </w:r>
      <w:r>
        <w:rPr>
          <w:rFonts w:hint="eastAsia" w:ascii="仿宋_GB2312" w:hAnsi="仿宋_GB2312" w:eastAsia="仿宋_GB2312" w:cs="仿宋_GB2312"/>
          <w:b w:val="0"/>
          <w:bCs/>
          <w:color w:val="auto"/>
          <w:sz w:val="32"/>
          <w:szCs w:val="32"/>
          <w:lang w:val="en-US" w:eastAsia="zh-CN"/>
        </w:rPr>
        <w:t>支出</w:t>
      </w:r>
      <w:r>
        <w:rPr>
          <w:rFonts w:hint="eastAsia" w:ascii="仿宋_GB2312" w:hAnsi="仿宋_GB2312" w:eastAsia="仿宋_GB2312" w:cs="仿宋_GB2312"/>
          <w:b w:val="0"/>
          <w:bCs/>
          <w:color w:val="auto"/>
          <w:sz w:val="32"/>
          <w:szCs w:val="32"/>
        </w:rPr>
        <w:t xml:space="preserve">                     </w:t>
      </w:r>
      <w:r>
        <w:rPr>
          <w:rFonts w:hint="eastAsia" w:ascii="仿宋_GB2312" w:hAnsi="仿宋_GB2312" w:eastAsia="仿宋_GB2312" w:cs="仿宋_GB2312"/>
          <w:b w:val="0"/>
          <w:bCs/>
          <w:color w:val="auto"/>
          <w:sz w:val="32"/>
          <w:szCs w:val="32"/>
          <w:lang w:val="en-US" w:eastAsia="zh-CN"/>
        </w:rPr>
        <w:t xml:space="preserve">    13350</w:t>
      </w:r>
      <w:r>
        <w:rPr>
          <w:rFonts w:hint="eastAsia" w:ascii="仿宋_GB2312" w:hAnsi="仿宋_GB2312" w:eastAsia="仿宋_GB2312" w:cs="仿宋_GB2312"/>
          <w:b w:val="0"/>
          <w:bCs/>
          <w:color w:val="auto"/>
          <w:sz w:val="32"/>
          <w:szCs w:val="32"/>
        </w:rPr>
        <w:t>万元；</w:t>
      </w:r>
    </w:p>
    <w:p>
      <w:pPr>
        <w:keepNext w:val="0"/>
        <w:keepLines w:val="0"/>
        <w:pageBreakBefore w:val="0"/>
        <w:numPr>
          <w:ilvl w:val="0"/>
          <w:numId w:val="0"/>
        </w:numPr>
        <w:pBdr>
          <w:bottom w:val="single" w:color="FFFFFF" w:sz="4" w:space="31"/>
        </w:pBdr>
        <w:kinsoku/>
        <w:wordWrap/>
        <w:overflowPunct/>
        <w:autoSpaceDE/>
        <w:autoSpaceDN/>
        <w:bidi w:val="0"/>
        <w:spacing w:beforeLines="0" w:afterLines="0" w:line="60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农林水事务</w:t>
      </w:r>
      <w:r>
        <w:rPr>
          <w:rFonts w:hint="eastAsia" w:ascii="仿宋_GB2312" w:hAnsi="仿宋_GB2312" w:eastAsia="仿宋_GB2312" w:cs="仿宋_GB2312"/>
          <w:b w:val="0"/>
          <w:bCs/>
          <w:color w:val="auto"/>
          <w:sz w:val="32"/>
          <w:szCs w:val="32"/>
          <w:lang w:val="en-US" w:eastAsia="zh-CN"/>
        </w:rPr>
        <w:t>支出</w:t>
      </w:r>
      <w:r>
        <w:rPr>
          <w:rFonts w:hint="eastAsia" w:ascii="仿宋_GB2312" w:hAnsi="仿宋_GB2312" w:eastAsia="仿宋_GB2312" w:cs="仿宋_GB2312"/>
          <w:b w:val="0"/>
          <w:bCs/>
          <w:color w:val="auto"/>
          <w:sz w:val="32"/>
          <w:szCs w:val="32"/>
        </w:rPr>
        <w:t xml:space="preserve">                    </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 xml:space="preserve"> </w:t>
      </w:r>
      <w:r>
        <w:rPr>
          <w:rFonts w:hint="eastAsia" w:ascii="仿宋_GB2312" w:hAnsi="仿宋_GB2312" w:eastAsia="仿宋_GB2312" w:cs="仿宋_GB2312"/>
          <w:b w:val="0"/>
          <w:bCs/>
          <w:color w:val="auto"/>
          <w:sz w:val="32"/>
          <w:szCs w:val="32"/>
          <w:lang w:val="en-US" w:eastAsia="zh-CN"/>
        </w:rPr>
        <w:t>87050</w:t>
      </w:r>
      <w:r>
        <w:rPr>
          <w:rFonts w:hint="eastAsia" w:ascii="仿宋_GB2312" w:hAnsi="仿宋_GB2312" w:eastAsia="仿宋_GB2312" w:cs="仿宋_GB2312"/>
          <w:b w:val="0"/>
          <w:bCs/>
          <w:color w:val="auto"/>
          <w:sz w:val="32"/>
          <w:szCs w:val="32"/>
        </w:rPr>
        <w:t>万元；</w:t>
      </w:r>
    </w:p>
    <w:p>
      <w:pPr>
        <w:keepNext w:val="0"/>
        <w:keepLines w:val="0"/>
        <w:pageBreakBefore w:val="0"/>
        <w:numPr>
          <w:ilvl w:val="0"/>
          <w:numId w:val="0"/>
        </w:numPr>
        <w:pBdr>
          <w:bottom w:val="single" w:color="FFFFFF" w:sz="4" w:space="31"/>
        </w:pBdr>
        <w:kinsoku/>
        <w:wordWrap/>
        <w:overflowPunct/>
        <w:autoSpaceDE/>
        <w:autoSpaceDN/>
        <w:bidi w:val="0"/>
        <w:spacing w:beforeLines="0" w:afterLines="0" w:line="60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交通运输</w:t>
      </w:r>
      <w:r>
        <w:rPr>
          <w:rFonts w:hint="eastAsia" w:ascii="仿宋_GB2312" w:hAnsi="仿宋_GB2312" w:eastAsia="仿宋_GB2312" w:cs="仿宋_GB2312"/>
          <w:b w:val="0"/>
          <w:bCs/>
          <w:color w:val="auto"/>
          <w:sz w:val="32"/>
          <w:szCs w:val="32"/>
          <w:lang w:val="en-US" w:eastAsia="zh-CN"/>
        </w:rPr>
        <w:t>支出</w:t>
      </w:r>
      <w:r>
        <w:rPr>
          <w:rFonts w:hint="eastAsia" w:ascii="仿宋_GB2312" w:hAnsi="仿宋_GB2312" w:eastAsia="仿宋_GB2312" w:cs="仿宋_GB2312"/>
          <w:b w:val="0"/>
          <w:bCs/>
          <w:color w:val="auto"/>
          <w:sz w:val="32"/>
          <w:szCs w:val="32"/>
        </w:rPr>
        <w:t xml:space="preserve">                       </w:t>
      </w:r>
      <w:r>
        <w:rPr>
          <w:rFonts w:hint="eastAsia" w:ascii="仿宋_GB2312" w:hAnsi="仿宋_GB2312" w:eastAsia="仿宋_GB2312" w:cs="仿宋_GB2312"/>
          <w:b w:val="0"/>
          <w:bCs/>
          <w:color w:val="auto"/>
          <w:sz w:val="32"/>
          <w:szCs w:val="32"/>
          <w:lang w:val="en-US" w:eastAsia="zh-CN"/>
        </w:rPr>
        <w:t xml:space="preserve">      13200</w:t>
      </w:r>
      <w:r>
        <w:rPr>
          <w:rFonts w:hint="eastAsia" w:ascii="仿宋_GB2312" w:hAnsi="仿宋_GB2312" w:eastAsia="仿宋_GB2312" w:cs="仿宋_GB2312"/>
          <w:b w:val="0"/>
          <w:bCs/>
          <w:color w:val="auto"/>
          <w:sz w:val="32"/>
          <w:szCs w:val="32"/>
        </w:rPr>
        <w:t>万元；</w:t>
      </w:r>
    </w:p>
    <w:p>
      <w:pPr>
        <w:keepNext w:val="0"/>
        <w:keepLines w:val="0"/>
        <w:pageBreakBefore w:val="0"/>
        <w:numPr>
          <w:ilvl w:val="0"/>
          <w:numId w:val="0"/>
        </w:numPr>
        <w:pBdr>
          <w:bottom w:val="single" w:color="FFFFFF" w:sz="4" w:space="31"/>
        </w:pBdr>
        <w:kinsoku/>
        <w:wordWrap/>
        <w:overflowPunct/>
        <w:autoSpaceDE/>
        <w:autoSpaceDN/>
        <w:bidi w:val="0"/>
        <w:spacing w:beforeLines="0" w:afterLines="0" w:line="60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rPr>
        <w:t>资源勘探信息等</w:t>
      </w:r>
      <w:r>
        <w:rPr>
          <w:rFonts w:hint="eastAsia" w:ascii="仿宋_GB2312" w:hAnsi="仿宋_GB2312" w:eastAsia="仿宋_GB2312" w:cs="仿宋_GB2312"/>
          <w:b w:val="0"/>
          <w:bCs/>
          <w:color w:val="auto"/>
          <w:sz w:val="32"/>
          <w:szCs w:val="32"/>
          <w:lang w:val="en-US" w:eastAsia="zh-CN"/>
        </w:rPr>
        <w:t>支出</w:t>
      </w:r>
      <w:r>
        <w:rPr>
          <w:rFonts w:hint="eastAsia" w:ascii="仿宋_GB2312" w:hAnsi="仿宋_GB2312" w:eastAsia="仿宋_GB2312" w:cs="仿宋_GB2312"/>
          <w:b w:val="0"/>
          <w:bCs/>
          <w:color w:val="auto"/>
          <w:sz w:val="32"/>
          <w:szCs w:val="32"/>
        </w:rPr>
        <w:t xml:space="preserve">                  </w:t>
      </w:r>
      <w:r>
        <w:rPr>
          <w:rFonts w:hint="eastAsia" w:ascii="仿宋_GB2312" w:hAnsi="仿宋_GB2312" w:eastAsia="仿宋_GB2312" w:cs="仿宋_GB2312"/>
          <w:b w:val="0"/>
          <w:bCs/>
          <w:color w:val="auto"/>
          <w:sz w:val="32"/>
          <w:szCs w:val="32"/>
          <w:lang w:val="en-US" w:eastAsia="zh-CN"/>
        </w:rPr>
        <w:t xml:space="preserve">      1400万元；</w:t>
      </w:r>
    </w:p>
    <w:p>
      <w:pPr>
        <w:keepNext w:val="0"/>
        <w:keepLines w:val="0"/>
        <w:pageBreakBefore w:val="0"/>
        <w:numPr>
          <w:ilvl w:val="0"/>
          <w:numId w:val="0"/>
        </w:numPr>
        <w:pBdr>
          <w:bottom w:val="single" w:color="FFFFFF" w:sz="4" w:space="31"/>
        </w:pBdr>
        <w:kinsoku/>
        <w:wordWrap/>
        <w:overflowPunct/>
        <w:autoSpaceDE/>
        <w:autoSpaceDN/>
        <w:bidi w:val="0"/>
        <w:spacing w:beforeLines="0" w:afterLines="0" w:line="60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商业服务业等支出                          1200万元；</w:t>
      </w:r>
    </w:p>
    <w:p>
      <w:pPr>
        <w:keepNext w:val="0"/>
        <w:keepLines w:val="0"/>
        <w:pageBreakBefore w:val="0"/>
        <w:numPr>
          <w:ilvl w:val="0"/>
          <w:numId w:val="0"/>
        </w:numPr>
        <w:pBdr>
          <w:bottom w:val="single" w:color="FFFFFF" w:sz="4" w:space="31"/>
        </w:pBdr>
        <w:kinsoku/>
        <w:wordWrap/>
        <w:overflowPunct/>
        <w:autoSpaceDE/>
        <w:autoSpaceDN/>
        <w:bidi w:val="0"/>
        <w:spacing w:beforeLines="0" w:afterLines="0" w:line="60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金融支出                                   200万元；</w:t>
      </w:r>
    </w:p>
    <w:p>
      <w:pPr>
        <w:keepNext w:val="0"/>
        <w:keepLines w:val="0"/>
        <w:pageBreakBefore w:val="0"/>
        <w:numPr>
          <w:ilvl w:val="0"/>
          <w:numId w:val="0"/>
        </w:numPr>
        <w:pBdr>
          <w:bottom w:val="single" w:color="FFFFFF" w:sz="4" w:space="31"/>
        </w:pBdr>
        <w:kinsoku/>
        <w:wordWrap/>
        <w:overflowPunct/>
        <w:autoSpaceDE/>
        <w:autoSpaceDN/>
        <w:bidi w:val="0"/>
        <w:spacing w:beforeLines="0" w:afterLines="0" w:line="60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自然资源海洋气象等支出                    8830万元；</w:t>
      </w:r>
    </w:p>
    <w:p>
      <w:pPr>
        <w:keepNext w:val="0"/>
        <w:keepLines w:val="0"/>
        <w:pageBreakBefore w:val="0"/>
        <w:numPr>
          <w:ilvl w:val="0"/>
          <w:numId w:val="0"/>
        </w:numPr>
        <w:pBdr>
          <w:bottom w:val="single" w:color="FFFFFF" w:sz="4" w:space="31"/>
        </w:pBdr>
        <w:kinsoku/>
        <w:wordWrap/>
        <w:overflowPunct/>
        <w:autoSpaceDE/>
        <w:autoSpaceDN/>
        <w:bidi w:val="0"/>
        <w:spacing w:beforeLines="0" w:afterLines="0" w:line="60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住房保障支出                              9200万元；</w:t>
      </w:r>
    </w:p>
    <w:p>
      <w:pPr>
        <w:keepNext w:val="0"/>
        <w:keepLines w:val="0"/>
        <w:pageBreakBefore w:val="0"/>
        <w:numPr>
          <w:ilvl w:val="0"/>
          <w:numId w:val="0"/>
        </w:numPr>
        <w:pBdr>
          <w:bottom w:val="single" w:color="FFFFFF" w:sz="4" w:space="31"/>
        </w:pBdr>
        <w:kinsoku/>
        <w:wordWrap/>
        <w:overflowPunct/>
        <w:autoSpaceDE/>
        <w:autoSpaceDN/>
        <w:bidi w:val="0"/>
        <w:spacing w:beforeLines="0" w:afterLines="0" w:line="60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粮油物资储备支出                           350万元；</w:t>
      </w:r>
    </w:p>
    <w:p>
      <w:pPr>
        <w:keepNext w:val="0"/>
        <w:keepLines w:val="0"/>
        <w:pageBreakBefore w:val="0"/>
        <w:numPr>
          <w:ilvl w:val="0"/>
          <w:numId w:val="0"/>
        </w:numPr>
        <w:pBdr>
          <w:bottom w:val="single" w:color="FFFFFF" w:sz="4" w:space="31"/>
        </w:pBdr>
        <w:kinsoku/>
        <w:wordWrap/>
        <w:overflowPunct/>
        <w:autoSpaceDE/>
        <w:autoSpaceDN/>
        <w:bidi w:val="0"/>
        <w:spacing w:beforeLines="0" w:afterLines="0" w:line="60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灾害防治及应急管理支出                    8300万元；</w:t>
      </w:r>
    </w:p>
    <w:p>
      <w:pPr>
        <w:keepNext w:val="0"/>
        <w:keepLines w:val="0"/>
        <w:pageBreakBefore w:val="0"/>
        <w:numPr>
          <w:ilvl w:val="0"/>
          <w:numId w:val="0"/>
        </w:numPr>
        <w:pBdr>
          <w:bottom w:val="single" w:color="FFFFFF" w:sz="4" w:space="31"/>
        </w:pBdr>
        <w:kinsoku/>
        <w:wordWrap/>
        <w:overflowPunct/>
        <w:autoSpaceDE/>
        <w:autoSpaceDN/>
        <w:bidi w:val="0"/>
        <w:spacing w:beforeLines="0" w:afterLines="0" w:line="60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债务付息支出                              2300万元；</w:t>
      </w:r>
    </w:p>
    <w:p>
      <w:pPr>
        <w:keepNext w:val="0"/>
        <w:keepLines w:val="0"/>
        <w:pageBreakBefore w:val="0"/>
        <w:numPr>
          <w:ilvl w:val="0"/>
          <w:numId w:val="0"/>
        </w:numPr>
        <w:pBdr>
          <w:bottom w:val="single" w:color="FFFFFF" w:sz="4" w:space="31"/>
        </w:pBdr>
        <w:kinsoku/>
        <w:wordWrap/>
        <w:overflowPunct/>
        <w:autoSpaceDE/>
        <w:autoSpaceDN/>
        <w:bidi w:val="0"/>
        <w:spacing w:beforeLines="0" w:afterLines="0" w:line="60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债务发行费支出                              15万元；</w:t>
      </w:r>
    </w:p>
    <w:p>
      <w:pPr>
        <w:keepNext w:val="0"/>
        <w:keepLines w:val="0"/>
        <w:pageBreakBefore w:val="0"/>
        <w:numPr>
          <w:ilvl w:val="0"/>
          <w:numId w:val="0"/>
        </w:numPr>
        <w:pBdr>
          <w:bottom w:val="single" w:color="FFFFFF" w:sz="4" w:space="31"/>
        </w:pBdr>
        <w:kinsoku/>
        <w:wordWrap/>
        <w:overflowPunct/>
        <w:autoSpaceDE/>
        <w:autoSpaceDN/>
        <w:bidi w:val="0"/>
        <w:spacing w:beforeLines="0" w:afterLines="0" w:line="600" w:lineRule="exact"/>
        <w:ind w:firstLine="640" w:firstLineChars="200"/>
        <w:textAlignment w:val="auto"/>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预备费                                    3000万元；</w:t>
      </w:r>
    </w:p>
    <w:p>
      <w:pPr>
        <w:keepNext w:val="0"/>
        <w:keepLines w:val="0"/>
        <w:pageBreakBefore w:val="0"/>
        <w:numPr>
          <w:ilvl w:val="0"/>
          <w:numId w:val="0"/>
        </w:numPr>
        <w:pBdr>
          <w:bottom w:val="single" w:color="FFFFFF" w:sz="4" w:space="31"/>
        </w:pBdr>
        <w:kinsoku/>
        <w:wordWrap/>
        <w:overflowPunct/>
        <w:autoSpaceDE/>
        <w:autoSpaceDN/>
        <w:bidi w:val="0"/>
        <w:spacing w:beforeLines="0" w:afterLines="0" w:line="60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rPr>
        <w:t xml:space="preserve">其他支出                      </w:t>
      </w:r>
      <w:r>
        <w:rPr>
          <w:rFonts w:hint="eastAsia" w:ascii="仿宋_GB2312" w:hAnsi="仿宋_GB2312" w:eastAsia="仿宋_GB2312" w:cs="仿宋_GB2312"/>
          <w:b w:val="0"/>
          <w:bCs/>
          <w:color w:val="auto"/>
          <w:sz w:val="32"/>
          <w:szCs w:val="32"/>
          <w:lang w:val="en-US" w:eastAsia="zh-CN"/>
        </w:rPr>
        <w:t xml:space="preserve">             550万元。</w:t>
      </w:r>
    </w:p>
    <w:p>
      <w:pPr>
        <w:keepNext w:val="0"/>
        <w:keepLines w:val="0"/>
        <w:pageBreakBefore w:val="0"/>
        <w:numPr>
          <w:ilvl w:val="0"/>
          <w:numId w:val="0"/>
        </w:numPr>
        <w:pBdr>
          <w:bottom w:val="single" w:color="FFFFFF" w:sz="4" w:space="31"/>
        </w:pBdr>
        <w:kinsoku/>
        <w:wordWrap/>
        <w:overflowPunct/>
        <w:autoSpaceDE/>
        <w:autoSpaceDN/>
        <w:bidi w:val="0"/>
        <w:spacing w:beforeLines="0" w:afterLines="0" w:line="60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上解支出2650万元，债务还本支出</w:t>
      </w:r>
      <w:r>
        <w:rPr>
          <w:rFonts w:hint="eastAsia" w:ascii="仿宋_GB2312" w:hAnsi="仿宋_GB2312" w:eastAsia="仿宋_GB2312" w:cs="仿宋_GB2312"/>
          <w:b w:val="0"/>
          <w:bCs/>
          <w:color w:val="auto"/>
          <w:sz w:val="32"/>
          <w:szCs w:val="32"/>
          <w:lang w:val="en-US" w:eastAsia="zh-CN"/>
        </w:rPr>
        <w:t>8322</w:t>
      </w:r>
      <w:r>
        <w:rPr>
          <w:rFonts w:hint="eastAsia" w:ascii="仿宋_GB2312" w:hAnsi="仿宋_GB2312" w:eastAsia="仿宋_GB2312" w:cs="仿宋_GB2312"/>
          <w:b w:val="0"/>
          <w:bCs/>
          <w:color w:val="auto"/>
          <w:sz w:val="32"/>
          <w:szCs w:val="32"/>
        </w:rPr>
        <w:t>万元，安排预算稳定调节基金</w:t>
      </w:r>
      <w:r>
        <w:rPr>
          <w:rFonts w:hint="eastAsia" w:ascii="仿宋_GB2312" w:hAnsi="仿宋_GB2312" w:eastAsia="仿宋_GB2312" w:cs="仿宋_GB2312"/>
          <w:b w:val="0"/>
          <w:bCs/>
          <w:color w:val="auto"/>
          <w:sz w:val="32"/>
          <w:szCs w:val="32"/>
          <w:lang w:val="en-US" w:eastAsia="zh-CN"/>
        </w:rPr>
        <w:t>10150</w:t>
      </w:r>
      <w:r>
        <w:rPr>
          <w:rFonts w:hint="eastAsia" w:ascii="仿宋_GB2312" w:hAnsi="仿宋_GB2312" w:eastAsia="仿宋_GB2312" w:cs="仿宋_GB2312"/>
          <w:b w:val="0"/>
          <w:bCs/>
          <w:color w:val="auto"/>
          <w:sz w:val="32"/>
          <w:szCs w:val="32"/>
        </w:rPr>
        <w:t>万元，调出资金5</w:t>
      </w:r>
      <w:r>
        <w:rPr>
          <w:rFonts w:hint="eastAsia" w:ascii="仿宋_GB2312" w:hAnsi="仿宋_GB2312" w:eastAsia="仿宋_GB2312" w:cs="仿宋_GB2312"/>
          <w:b w:val="0"/>
          <w:bCs/>
          <w:color w:val="auto"/>
          <w:sz w:val="32"/>
          <w:szCs w:val="32"/>
          <w:lang w:val="en-US" w:eastAsia="zh-CN"/>
        </w:rPr>
        <w:t>6</w:t>
      </w:r>
      <w:r>
        <w:rPr>
          <w:rFonts w:hint="eastAsia" w:ascii="仿宋_GB2312" w:hAnsi="仿宋_GB2312" w:eastAsia="仿宋_GB2312" w:cs="仿宋_GB2312"/>
          <w:b w:val="0"/>
          <w:bCs/>
          <w:color w:val="auto"/>
          <w:sz w:val="32"/>
          <w:szCs w:val="32"/>
        </w:rPr>
        <w:t>00万元，年终结余2</w:t>
      </w:r>
      <w:r>
        <w:rPr>
          <w:rFonts w:hint="eastAsia" w:ascii="仿宋_GB2312" w:hAnsi="仿宋_GB2312" w:eastAsia="仿宋_GB2312" w:cs="仿宋_GB2312"/>
          <w:b w:val="0"/>
          <w:bCs/>
          <w:color w:val="auto"/>
          <w:sz w:val="32"/>
          <w:szCs w:val="32"/>
          <w:lang w:val="en-US" w:eastAsia="zh-CN"/>
        </w:rPr>
        <w:t>5</w:t>
      </w:r>
      <w:r>
        <w:rPr>
          <w:rFonts w:hint="eastAsia" w:ascii="仿宋_GB2312" w:hAnsi="仿宋_GB2312" w:eastAsia="仿宋_GB2312" w:cs="仿宋_GB2312"/>
          <w:b w:val="0"/>
          <w:bCs/>
          <w:color w:val="auto"/>
          <w:sz w:val="32"/>
          <w:szCs w:val="32"/>
        </w:rPr>
        <w:t>00万元，预计2026年支出总计3</w:t>
      </w:r>
      <w:r>
        <w:rPr>
          <w:rFonts w:hint="eastAsia" w:ascii="仿宋_GB2312" w:hAnsi="仿宋_GB2312" w:eastAsia="仿宋_GB2312" w:cs="仿宋_GB2312"/>
          <w:b w:val="0"/>
          <w:bCs/>
          <w:color w:val="auto"/>
          <w:sz w:val="32"/>
          <w:szCs w:val="32"/>
          <w:lang w:val="en-US" w:eastAsia="zh-CN"/>
        </w:rPr>
        <w:t>68005</w:t>
      </w:r>
      <w:r>
        <w:rPr>
          <w:rFonts w:hint="eastAsia" w:ascii="仿宋_GB2312" w:hAnsi="仿宋_GB2312" w:eastAsia="仿宋_GB2312" w:cs="仿宋_GB2312"/>
          <w:b w:val="0"/>
          <w:bCs/>
          <w:color w:val="auto"/>
          <w:sz w:val="32"/>
          <w:szCs w:val="32"/>
        </w:rPr>
        <w:t>万元。</w:t>
      </w:r>
    </w:p>
    <w:p>
      <w:pPr>
        <w:keepNext w:val="0"/>
        <w:keepLines w:val="0"/>
        <w:pageBreakBefore w:val="0"/>
        <w:numPr>
          <w:ilvl w:val="0"/>
          <w:numId w:val="0"/>
        </w:numPr>
        <w:pBdr>
          <w:bottom w:val="single" w:color="FFFFFF" w:sz="4" w:space="31"/>
        </w:pBdr>
        <w:shd w:val="clear" w:color="auto" w:fill="FFFFFF"/>
        <w:tabs>
          <w:tab w:val="left" w:pos="7020"/>
          <w:tab w:val="left" w:pos="7380"/>
        </w:tabs>
        <w:kinsoku/>
        <w:wordWrap/>
        <w:overflowPunct/>
        <w:topLinePunct w:val="0"/>
        <w:autoSpaceDE/>
        <w:autoSpaceDN/>
        <w:bidi w:val="0"/>
        <w:adjustRightInd/>
        <w:snapToGrid w:val="0"/>
        <w:spacing w:line="600" w:lineRule="exact"/>
        <w:ind w:firstLine="642" w:firstLineChars="200"/>
        <w:textAlignment w:val="auto"/>
        <w:rPr>
          <w:rFonts w:hint="eastAsia" w:ascii="楷体_GB2312" w:hAnsi="楷体_GB2312" w:eastAsia="楷体_GB2312" w:cs="楷体_GB2312"/>
          <w:b/>
          <w:bCs/>
          <w:color w:val="auto"/>
          <w:w w:val="100"/>
          <w:kern w:val="0"/>
          <w:sz w:val="32"/>
          <w:szCs w:val="32"/>
          <w:shd w:val="clear"/>
          <w:lang w:val="en-US" w:eastAsia="zh-CN"/>
        </w:rPr>
      </w:pPr>
      <w:r>
        <w:rPr>
          <w:rFonts w:hint="eastAsia" w:ascii="楷体_GB2312" w:hAnsi="楷体_GB2312" w:eastAsia="楷体_GB2312" w:cs="楷体_GB2312"/>
          <w:b/>
          <w:bCs/>
          <w:color w:val="auto"/>
          <w:w w:val="100"/>
          <w:kern w:val="0"/>
          <w:sz w:val="32"/>
          <w:szCs w:val="32"/>
          <w:shd w:val="clear"/>
          <w:lang w:val="en-US" w:eastAsia="zh-CN"/>
        </w:rPr>
        <w:t>（二）2026年政府性基金预算安排</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74" w:firstLineChars="200"/>
        <w:textAlignment w:val="auto"/>
        <w:rPr>
          <w:rFonts w:hint="default" w:ascii="仿宋_GB2312" w:hAnsi="仿宋" w:eastAsia="仿宋_GB2312"/>
          <w:b/>
          <w:bCs/>
          <w:color w:val="auto"/>
          <w:spacing w:val="8"/>
          <w:sz w:val="32"/>
          <w:szCs w:val="32"/>
          <w:highlight w:val="none"/>
          <w:lang w:val="en-US" w:eastAsia="zh-CN"/>
        </w:rPr>
      </w:pPr>
      <w:r>
        <w:rPr>
          <w:rFonts w:hint="eastAsia" w:ascii="仿宋_GB2312" w:hAnsi="仿宋" w:eastAsia="仿宋_GB2312"/>
          <w:b/>
          <w:bCs/>
          <w:color w:val="auto"/>
          <w:spacing w:val="8"/>
          <w:sz w:val="32"/>
          <w:szCs w:val="32"/>
          <w:highlight w:val="none"/>
          <w:lang w:val="en-US" w:eastAsia="zh-CN"/>
        </w:rPr>
        <w:t>1.2026年政府性基金预算收入安排</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72" w:firstLineChars="200"/>
        <w:textAlignment w:val="auto"/>
        <w:rPr>
          <w:rFonts w:hint="eastAsia" w:ascii="仿宋_GB2312" w:hAnsi="仿宋" w:eastAsia="仿宋_GB2312"/>
          <w:color w:val="auto"/>
          <w:spacing w:val="8"/>
          <w:sz w:val="32"/>
          <w:szCs w:val="32"/>
          <w:highlight w:val="none"/>
        </w:rPr>
      </w:pPr>
      <w:r>
        <w:rPr>
          <w:rFonts w:hint="eastAsia" w:ascii="仿宋_GB2312" w:hAnsi="仿宋" w:eastAsia="仿宋_GB2312"/>
          <w:color w:val="auto"/>
          <w:spacing w:val="8"/>
          <w:sz w:val="32"/>
          <w:szCs w:val="32"/>
          <w:highlight w:val="none"/>
        </w:rPr>
        <w:t>2026年政府性基金本级预算收入完成200万元，其中</w:t>
      </w:r>
      <w:r>
        <w:rPr>
          <w:rFonts w:hint="eastAsia" w:ascii="仿宋_GB2312" w:hAnsi="仿宋" w:eastAsia="仿宋_GB2312"/>
          <w:color w:val="auto"/>
          <w:spacing w:val="8"/>
          <w:sz w:val="32"/>
          <w:szCs w:val="32"/>
          <w:highlight w:val="none"/>
          <w:lang w:eastAsia="zh-CN"/>
        </w:rPr>
        <w:t>：</w:t>
      </w:r>
      <w:r>
        <w:rPr>
          <w:rFonts w:hint="eastAsia" w:ascii="仿宋_GB2312" w:hAnsi="仿宋" w:eastAsia="仿宋_GB2312"/>
          <w:color w:val="auto"/>
          <w:spacing w:val="8"/>
          <w:sz w:val="32"/>
          <w:szCs w:val="32"/>
          <w:highlight w:val="none"/>
        </w:rPr>
        <w:t>国有土地使用权出让收入完成170万元，城市基础设施配套费收入完成30万元。</w:t>
      </w:r>
    </w:p>
    <w:p>
      <w:pPr>
        <w:keepNext w:val="0"/>
        <w:keepLines w:val="0"/>
        <w:pageBreakBefore w:val="0"/>
        <w:numPr>
          <w:ilvl w:val="0"/>
          <w:numId w:val="0"/>
        </w:numPr>
        <w:pBdr>
          <w:bottom w:val="single" w:color="FFFFFF" w:sz="4" w:space="31"/>
        </w:pBdr>
        <w:kinsoku/>
        <w:wordWrap/>
        <w:overflowPunct/>
        <w:autoSpaceDE/>
        <w:autoSpaceDN/>
        <w:bidi w:val="0"/>
        <w:spacing w:beforeLines="0" w:afterLines="0" w:line="60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2026年政府性基金预算转移性收入19100万元，其中：地方政府专项债务转贷收入12000万元，政府性基金转移支付收入1500万元，调入资金5600万元；政府性基金预算上年结余收入9313万元。2025年政府性基金收入总计28613万元。</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2" w:firstLineChars="200"/>
        <w:textAlignment w:val="auto"/>
        <w:rPr>
          <w:rFonts w:hint="eastAsia" w:ascii="仿宋_GB2312" w:hAnsi="仿宋" w:eastAsia="仿宋_GB2312" w:cs="宋体"/>
          <w:b/>
          <w:bCs/>
          <w:color w:val="auto"/>
          <w:kern w:val="0"/>
          <w:sz w:val="32"/>
          <w:szCs w:val="32"/>
          <w:highlight w:val="none"/>
          <w:lang w:val="en-US" w:eastAsia="zh-CN"/>
        </w:rPr>
      </w:pPr>
      <w:r>
        <w:rPr>
          <w:rFonts w:hint="eastAsia" w:ascii="仿宋_GB2312" w:hAnsi="仿宋" w:eastAsia="仿宋_GB2312" w:cs="宋体"/>
          <w:b/>
          <w:bCs/>
          <w:color w:val="auto"/>
          <w:kern w:val="0"/>
          <w:sz w:val="32"/>
          <w:szCs w:val="32"/>
          <w:highlight w:val="none"/>
          <w:lang w:val="en-US" w:eastAsia="zh-CN"/>
        </w:rPr>
        <w:t>2.</w:t>
      </w:r>
      <w:r>
        <w:rPr>
          <w:rFonts w:hint="eastAsia" w:ascii="仿宋_GB2312" w:hAnsi="仿宋" w:eastAsia="仿宋_GB2312" w:cs="宋体"/>
          <w:b/>
          <w:bCs/>
          <w:color w:val="auto"/>
          <w:kern w:val="0"/>
          <w:sz w:val="32"/>
          <w:szCs w:val="32"/>
          <w:highlight w:val="none"/>
        </w:rPr>
        <w:t>政府性基金</w:t>
      </w:r>
      <w:r>
        <w:rPr>
          <w:rFonts w:hint="eastAsia" w:ascii="仿宋_GB2312" w:hAnsi="仿宋" w:eastAsia="仿宋_GB2312" w:cs="宋体"/>
          <w:b/>
          <w:bCs/>
          <w:color w:val="auto"/>
          <w:kern w:val="0"/>
          <w:sz w:val="32"/>
          <w:szCs w:val="32"/>
          <w:highlight w:val="none"/>
          <w:lang w:val="en-US" w:eastAsia="zh-CN"/>
        </w:rPr>
        <w:t>预算</w:t>
      </w:r>
      <w:r>
        <w:rPr>
          <w:rFonts w:hint="eastAsia" w:ascii="仿宋_GB2312" w:hAnsi="仿宋" w:eastAsia="仿宋_GB2312" w:cs="宋体"/>
          <w:b/>
          <w:bCs/>
          <w:color w:val="auto"/>
          <w:kern w:val="0"/>
          <w:sz w:val="32"/>
          <w:szCs w:val="32"/>
          <w:highlight w:val="none"/>
        </w:rPr>
        <w:t>支出</w:t>
      </w:r>
      <w:r>
        <w:rPr>
          <w:rFonts w:hint="eastAsia" w:ascii="仿宋_GB2312" w:hAnsi="仿宋" w:eastAsia="仿宋_GB2312" w:cs="宋体"/>
          <w:b/>
          <w:bCs/>
          <w:color w:val="auto"/>
          <w:kern w:val="0"/>
          <w:sz w:val="32"/>
          <w:szCs w:val="32"/>
          <w:highlight w:val="none"/>
          <w:lang w:val="en-US" w:eastAsia="zh-CN"/>
        </w:rPr>
        <w:t>安排</w:t>
      </w:r>
    </w:p>
    <w:p>
      <w:pPr>
        <w:keepNext w:val="0"/>
        <w:keepLines w:val="0"/>
        <w:pageBreakBefore w:val="0"/>
        <w:numPr>
          <w:ilvl w:val="0"/>
          <w:numId w:val="0"/>
        </w:numPr>
        <w:pBdr>
          <w:bottom w:val="single" w:color="FFFFFF" w:sz="4" w:space="31"/>
        </w:pBdr>
        <w:kinsoku/>
        <w:wordWrap/>
        <w:overflowPunct/>
        <w:autoSpaceDE/>
        <w:autoSpaceDN/>
        <w:bidi w:val="0"/>
        <w:spacing w:beforeLines="0" w:afterLines="0" w:line="600" w:lineRule="exact"/>
        <w:ind w:firstLine="640"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val="en-US" w:eastAsia="zh-CN"/>
        </w:rPr>
        <w:t>2026年全县</w:t>
      </w:r>
      <w:r>
        <w:rPr>
          <w:rFonts w:hint="eastAsia" w:ascii="仿宋_GB2312" w:hAnsi="仿宋_GB2312" w:eastAsia="仿宋_GB2312" w:cs="仿宋_GB2312"/>
          <w:b w:val="0"/>
          <w:bCs/>
          <w:color w:val="auto"/>
          <w:sz w:val="32"/>
          <w:szCs w:val="32"/>
        </w:rPr>
        <w:t>政府性基金支出</w:t>
      </w:r>
      <w:r>
        <w:rPr>
          <w:rFonts w:hint="eastAsia" w:ascii="仿宋_GB2312" w:hAnsi="仿宋_GB2312" w:eastAsia="仿宋_GB2312" w:cs="仿宋_GB2312"/>
          <w:b w:val="0"/>
          <w:bCs/>
          <w:color w:val="auto"/>
          <w:sz w:val="32"/>
          <w:szCs w:val="32"/>
          <w:lang w:val="en-US" w:eastAsia="zh-CN"/>
        </w:rPr>
        <w:t>25368</w:t>
      </w:r>
      <w:r>
        <w:rPr>
          <w:rFonts w:hint="eastAsia" w:ascii="仿宋_GB2312" w:hAnsi="仿宋_GB2312" w:eastAsia="仿宋_GB2312" w:cs="仿宋_GB2312"/>
          <w:b w:val="0"/>
          <w:bCs/>
          <w:color w:val="auto"/>
          <w:sz w:val="32"/>
          <w:szCs w:val="32"/>
        </w:rPr>
        <w:t>万元，根据支出功能分类科目，具体安排为</w:t>
      </w:r>
      <w:r>
        <w:rPr>
          <w:rFonts w:hint="eastAsia" w:ascii="仿宋_GB2312" w:hAnsi="仿宋_GB2312" w:eastAsia="仿宋_GB2312" w:cs="仿宋_GB2312"/>
          <w:b w:val="0"/>
          <w:bCs/>
          <w:color w:val="auto"/>
          <w:sz w:val="32"/>
          <w:szCs w:val="32"/>
          <w:lang w:eastAsia="zh-CN"/>
        </w:rPr>
        <w:t>：</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宋体"/>
          <w:b w:val="0"/>
          <w:bCs w:val="0"/>
          <w:color w:val="auto"/>
          <w:kern w:val="0"/>
          <w:sz w:val="32"/>
          <w:szCs w:val="32"/>
          <w:highlight w:val="none"/>
        </w:rPr>
      </w:pPr>
      <w:r>
        <w:rPr>
          <w:rFonts w:hint="eastAsia" w:ascii="仿宋_GB2312" w:hAnsi="仿宋" w:eastAsia="仿宋_GB2312" w:cs="宋体"/>
          <w:b w:val="0"/>
          <w:bCs w:val="0"/>
          <w:color w:val="auto"/>
          <w:kern w:val="0"/>
          <w:sz w:val="32"/>
          <w:szCs w:val="32"/>
          <w:highlight w:val="none"/>
        </w:rPr>
        <w:t>城乡社区支出中</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宋体"/>
          <w:b w:val="0"/>
          <w:bCs w:val="0"/>
          <w:color w:val="auto"/>
          <w:kern w:val="0"/>
          <w:sz w:val="32"/>
          <w:szCs w:val="32"/>
          <w:highlight w:val="none"/>
          <w:lang w:eastAsia="zh-CN"/>
        </w:rPr>
      </w:pPr>
      <w:r>
        <w:rPr>
          <w:rFonts w:hint="eastAsia" w:ascii="仿宋_GB2312" w:hAnsi="仿宋" w:eastAsia="仿宋_GB2312" w:cs="宋体"/>
          <w:b w:val="0"/>
          <w:bCs w:val="0"/>
          <w:color w:val="auto"/>
          <w:kern w:val="0"/>
          <w:sz w:val="32"/>
          <w:szCs w:val="32"/>
          <w:highlight w:val="none"/>
          <w:lang w:val="en-US" w:eastAsia="zh-CN"/>
        </w:rPr>
        <w:t>国有土地使用权出让收入支出                1300</w:t>
      </w:r>
      <w:r>
        <w:rPr>
          <w:rFonts w:hint="eastAsia" w:ascii="仿宋_GB2312" w:hAnsi="仿宋" w:eastAsia="仿宋_GB2312" w:cs="宋体"/>
          <w:b w:val="0"/>
          <w:bCs w:val="0"/>
          <w:color w:val="auto"/>
          <w:kern w:val="0"/>
          <w:sz w:val="32"/>
          <w:szCs w:val="32"/>
          <w:highlight w:val="none"/>
        </w:rPr>
        <w:t>万元</w:t>
      </w:r>
      <w:r>
        <w:rPr>
          <w:rFonts w:hint="eastAsia" w:ascii="仿宋_GB2312" w:hAnsi="仿宋" w:eastAsia="仿宋_GB2312" w:cs="宋体"/>
          <w:b w:val="0"/>
          <w:bCs w:val="0"/>
          <w:color w:val="auto"/>
          <w:kern w:val="0"/>
          <w:sz w:val="32"/>
          <w:szCs w:val="32"/>
          <w:highlight w:val="none"/>
          <w:lang w:eastAsia="zh-CN"/>
        </w:rPr>
        <w:t>；</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宋体"/>
          <w:b w:val="0"/>
          <w:bCs w:val="0"/>
          <w:color w:val="auto"/>
          <w:kern w:val="0"/>
          <w:sz w:val="32"/>
          <w:szCs w:val="32"/>
          <w:highlight w:val="none"/>
          <w:lang w:val="en-US" w:eastAsia="zh-CN"/>
        </w:rPr>
      </w:pPr>
      <w:r>
        <w:rPr>
          <w:rFonts w:hint="eastAsia" w:ascii="仿宋_GB2312" w:hAnsi="仿宋" w:eastAsia="仿宋_GB2312" w:cs="宋体"/>
          <w:b w:val="0"/>
          <w:bCs w:val="0"/>
          <w:color w:val="auto"/>
          <w:kern w:val="0"/>
          <w:sz w:val="32"/>
          <w:szCs w:val="32"/>
          <w:highlight w:val="none"/>
          <w:lang w:val="en-US" w:eastAsia="zh-CN"/>
        </w:rPr>
        <w:t>土地储备专项债券收入安排的支出            5168</w:t>
      </w:r>
      <w:r>
        <w:rPr>
          <w:rFonts w:hint="eastAsia" w:ascii="仿宋_GB2312" w:hAnsi="仿宋" w:eastAsia="仿宋_GB2312" w:cs="宋体"/>
          <w:b w:val="0"/>
          <w:bCs w:val="0"/>
          <w:color w:val="auto"/>
          <w:kern w:val="0"/>
          <w:sz w:val="32"/>
          <w:szCs w:val="32"/>
          <w:highlight w:val="none"/>
        </w:rPr>
        <w:t>万元</w:t>
      </w:r>
      <w:r>
        <w:rPr>
          <w:rFonts w:hint="eastAsia" w:ascii="仿宋_GB2312" w:hAnsi="仿宋" w:eastAsia="仿宋_GB2312" w:cs="宋体"/>
          <w:b w:val="0"/>
          <w:bCs w:val="0"/>
          <w:color w:val="auto"/>
          <w:kern w:val="0"/>
          <w:sz w:val="32"/>
          <w:szCs w:val="32"/>
          <w:highlight w:val="none"/>
          <w:lang w:eastAsia="zh-CN"/>
        </w:rPr>
        <w:t>；</w:t>
      </w:r>
      <w:r>
        <w:rPr>
          <w:rFonts w:hint="eastAsia" w:ascii="仿宋_GB2312" w:hAnsi="仿宋" w:eastAsia="仿宋_GB2312" w:cs="宋体"/>
          <w:b w:val="0"/>
          <w:bCs w:val="0"/>
          <w:color w:val="auto"/>
          <w:kern w:val="0"/>
          <w:sz w:val="32"/>
          <w:szCs w:val="32"/>
          <w:highlight w:val="none"/>
          <w:lang w:val="en-US" w:eastAsia="zh-CN"/>
        </w:rPr>
        <w:t xml:space="preserve"> </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rFonts w:hint="default" w:ascii="仿宋_GB2312" w:hAnsi="仿宋" w:eastAsia="仿宋_GB2312" w:cs="宋体"/>
          <w:b w:val="0"/>
          <w:bCs w:val="0"/>
          <w:color w:val="auto"/>
          <w:kern w:val="0"/>
          <w:sz w:val="32"/>
          <w:szCs w:val="32"/>
          <w:highlight w:val="none"/>
          <w:lang w:val="en-US" w:eastAsia="zh-CN"/>
        </w:rPr>
      </w:pPr>
      <w:r>
        <w:rPr>
          <w:rFonts w:hint="eastAsia" w:ascii="仿宋_GB2312" w:hAnsi="仿宋" w:eastAsia="仿宋_GB2312" w:cs="宋体"/>
          <w:b w:val="0"/>
          <w:bCs w:val="0"/>
          <w:color w:val="auto"/>
          <w:kern w:val="0"/>
          <w:sz w:val="32"/>
          <w:szCs w:val="32"/>
          <w:highlight w:val="none"/>
          <w:lang w:val="en-US" w:eastAsia="zh-CN"/>
        </w:rPr>
        <w:t>超长期特别国债安排的支出                   700万元；</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宋体"/>
          <w:b w:val="0"/>
          <w:bCs w:val="0"/>
          <w:color w:val="auto"/>
          <w:spacing w:val="-20"/>
          <w:kern w:val="0"/>
          <w:sz w:val="32"/>
          <w:szCs w:val="32"/>
          <w:highlight w:val="none"/>
          <w:lang w:eastAsia="zh-CN"/>
        </w:rPr>
      </w:pPr>
      <w:r>
        <w:rPr>
          <w:rFonts w:hint="eastAsia" w:ascii="仿宋_GB2312" w:hAnsi="仿宋" w:eastAsia="仿宋_GB2312" w:cs="宋体"/>
          <w:b w:val="0"/>
          <w:bCs w:val="0"/>
          <w:color w:val="auto"/>
          <w:kern w:val="0"/>
          <w:sz w:val="32"/>
          <w:szCs w:val="32"/>
          <w:highlight w:val="none"/>
          <w:lang w:val="en-US" w:eastAsia="zh-CN"/>
        </w:rPr>
        <w:t>其他政府性基金及对应专项债务收入安排的支出</w:t>
      </w:r>
      <w:r>
        <w:rPr>
          <w:rFonts w:hint="eastAsia" w:ascii="仿宋_GB2312" w:hAnsi="仿宋" w:eastAsia="仿宋_GB2312" w:cs="宋体"/>
          <w:b w:val="0"/>
          <w:bCs w:val="0"/>
          <w:color w:val="auto"/>
          <w:spacing w:val="-20"/>
          <w:kern w:val="0"/>
          <w:sz w:val="32"/>
          <w:szCs w:val="32"/>
          <w:highlight w:val="none"/>
          <w:lang w:val="en-US" w:eastAsia="zh-CN"/>
        </w:rPr>
        <w:t>12000</w:t>
      </w:r>
      <w:r>
        <w:rPr>
          <w:rFonts w:hint="eastAsia" w:ascii="仿宋_GB2312" w:hAnsi="仿宋" w:eastAsia="仿宋_GB2312" w:cs="宋体"/>
          <w:b w:val="0"/>
          <w:bCs w:val="0"/>
          <w:color w:val="auto"/>
          <w:spacing w:val="-20"/>
          <w:kern w:val="0"/>
          <w:sz w:val="32"/>
          <w:szCs w:val="32"/>
          <w:highlight w:val="none"/>
        </w:rPr>
        <w:t>万元</w:t>
      </w:r>
      <w:r>
        <w:rPr>
          <w:rFonts w:hint="eastAsia" w:ascii="仿宋_GB2312" w:hAnsi="仿宋" w:eastAsia="仿宋_GB2312" w:cs="宋体"/>
          <w:b w:val="0"/>
          <w:bCs w:val="0"/>
          <w:color w:val="auto"/>
          <w:spacing w:val="-20"/>
          <w:kern w:val="0"/>
          <w:sz w:val="32"/>
          <w:szCs w:val="32"/>
          <w:highlight w:val="none"/>
          <w:lang w:eastAsia="zh-CN"/>
        </w:rPr>
        <w:t>；</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rFonts w:hint="default" w:ascii="仿宋_GB2312" w:hAnsi="仿宋" w:eastAsia="仿宋_GB2312" w:cs="宋体"/>
          <w:b w:val="0"/>
          <w:bCs w:val="0"/>
          <w:color w:val="auto"/>
          <w:spacing w:val="-20"/>
          <w:kern w:val="0"/>
          <w:sz w:val="32"/>
          <w:szCs w:val="32"/>
          <w:highlight w:val="none"/>
          <w:lang w:val="en-US" w:eastAsia="zh-CN"/>
        </w:rPr>
      </w:pPr>
      <w:r>
        <w:rPr>
          <w:rFonts w:hint="eastAsia" w:ascii="仿宋_GB2312" w:hAnsi="仿宋" w:eastAsia="仿宋_GB2312" w:cs="宋体"/>
          <w:b w:val="0"/>
          <w:bCs w:val="0"/>
          <w:color w:val="auto"/>
          <w:kern w:val="0"/>
          <w:sz w:val="32"/>
          <w:szCs w:val="32"/>
          <w:highlight w:val="none"/>
          <w:lang w:val="en-US" w:eastAsia="zh-CN"/>
        </w:rPr>
        <w:t xml:space="preserve">彩票公益金安排的支出  </w:t>
      </w:r>
      <w:r>
        <w:rPr>
          <w:rFonts w:hint="eastAsia" w:ascii="仿宋_GB2312" w:hAnsi="仿宋" w:eastAsia="仿宋_GB2312" w:cs="宋体"/>
          <w:b w:val="0"/>
          <w:bCs w:val="0"/>
          <w:color w:val="auto"/>
          <w:spacing w:val="-20"/>
          <w:kern w:val="0"/>
          <w:sz w:val="32"/>
          <w:szCs w:val="32"/>
          <w:highlight w:val="none"/>
          <w:lang w:val="en-US" w:eastAsia="zh-CN"/>
        </w:rPr>
        <w:t xml:space="preserve">                             950万元；</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宋体"/>
          <w:b w:val="0"/>
          <w:bCs w:val="0"/>
          <w:color w:val="auto"/>
          <w:kern w:val="0"/>
          <w:sz w:val="32"/>
          <w:szCs w:val="32"/>
          <w:highlight w:val="none"/>
        </w:rPr>
      </w:pPr>
      <w:r>
        <w:rPr>
          <w:rFonts w:hint="eastAsia" w:ascii="仿宋_GB2312" w:hAnsi="仿宋" w:eastAsia="仿宋_GB2312" w:cs="宋体"/>
          <w:b w:val="0"/>
          <w:bCs w:val="0"/>
          <w:color w:val="auto"/>
          <w:kern w:val="0"/>
          <w:sz w:val="32"/>
          <w:szCs w:val="32"/>
          <w:highlight w:val="none"/>
          <w:lang w:val="en-US" w:eastAsia="zh-CN"/>
        </w:rPr>
        <w:t>债务付息支出                              5250</w:t>
      </w:r>
      <w:r>
        <w:rPr>
          <w:rFonts w:hint="eastAsia" w:ascii="仿宋_GB2312" w:hAnsi="仿宋" w:eastAsia="仿宋_GB2312" w:cs="宋体"/>
          <w:b w:val="0"/>
          <w:bCs w:val="0"/>
          <w:color w:val="auto"/>
          <w:kern w:val="0"/>
          <w:sz w:val="32"/>
          <w:szCs w:val="32"/>
          <w:highlight w:val="none"/>
        </w:rPr>
        <w:t>万元。</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宋体"/>
          <w:b w:val="0"/>
          <w:bCs w:val="0"/>
          <w:color w:val="auto"/>
          <w:kern w:val="0"/>
          <w:sz w:val="32"/>
          <w:szCs w:val="32"/>
          <w:highlight w:val="none"/>
          <w:lang w:val="en-US" w:eastAsia="zh-CN"/>
        </w:rPr>
      </w:pPr>
      <w:r>
        <w:rPr>
          <w:rFonts w:hint="eastAsia" w:ascii="仿宋_GB2312" w:hAnsi="仿宋" w:eastAsia="仿宋_GB2312" w:cs="宋体"/>
          <w:b w:val="0"/>
          <w:bCs w:val="0"/>
          <w:color w:val="auto"/>
          <w:kern w:val="0"/>
          <w:sz w:val="32"/>
          <w:szCs w:val="32"/>
          <w:highlight w:val="none"/>
          <w:lang w:val="en-US" w:eastAsia="zh-CN"/>
        </w:rPr>
        <w:t>年终结余2045万元。</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宋体"/>
          <w:b w:val="0"/>
          <w:bCs w:val="0"/>
          <w:color w:val="auto"/>
          <w:kern w:val="0"/>
          <w:sz w:val="32"/>
          <w:szCs w:val="32"/>
          <w:highlight w:val="none"/>
          <w:lang w:val="en-US" w:eastAsia="zh-CN"/>
        </w:rPr>
      </w:pPr>
      <w:r>
        <w:rPr>
          <w:rFonts w:hint="eastAsia" w:ascii="仿宋_GB2312" w:hAnsi="仿宋" w:eastAsia="仿宋_GB2312" w:cs="宋体"/>
          <w:b w:val="0"/>
          <w:bCs w:val="0"/>
          <w:color w:val="auto"/>
          <w:kern w:val="0"/>
          <w:sz w:val="32"/>
          <w:szCs w:val="32"/>
          <w:highlight w:val="none"/>
          <w:lang w:val="en-US" w:eastAsia="zh-CN"/>
        </w:rPr>
        <w:t>专项债务还本支出1200万元。</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宋体"/>
          <w:b w:val="0"/>
          <w:bCs w:val="0"/>
          <w:color w:val="auto"/>
          <w:kern w:val="0"/>
          <w:sz w:val="32"/>
          <w:szCs w:val="32"/>
          <w:highlight w:val="none"/>
          <w:lang w:val="en-US" w:eastAsia="zh-CN"/>
        </w:rPr>
      </w:pPr>
      <w:r>
        <w:rPr>
          <w:rFonts w:hint="eastAsia" w:ascii="仿宋_GB2312" w:hAnsi="仿宋" w:eastAsia="仿宋_GB2312" w:cs="宋体"/>
          <w:b w:val="0"/>
          <w:bCs w:val="0"/>
          <w:color w:val="auto"/>
          <w:kern w:val="0"/>
          <w:sz w:val="32"/>
          <w:szCs w:val="32"/>
          <w:highlight w:val="none"/>
          <w:lang w:val="en-US" w:eastAsia="zh-CN"/>
        </w:rPr>
        <w:t>2026年政府性基金支出总计28613万元。</w:t>
      </w:r>
    </w:p>
    <w:p>
      <w:pPr>
        <w:keepNext w:val="0"/>
        <w:keepLines w:val="0"/>
        <w:pageBreakBefore w:val="0"/>
        <w:numPr>
          <w:ilvl w:val="0"/>
          <w:numId w:val="0"/>
        </w:numPr>
        <w:pBdr>
          <w:bottom w:val="single" w:color="FFFFFF" w:sz="4" w:space="31"/>
        </w:pBdr>
        <w:shd w:val="clear" w:color="auto" w:fill="FFFFFF"/>
        <w:tabs>
          <w:tab w:val="left" w:pos="7020"/>
          <w:tab w:val="left" w:pos="7380"/>
        </w:tabs>
        <w:kinsoku/>
        <w:wordWrap/>
        <w:overflowPunct/>
        <w:topLinePunct w:val="0"/>
        <w:autoSpaceDE/>
        <w:autoSpaceDN/>
        <w:bidi w:val="0"/>
        <w:adjustRightInd/>
        <w:snapToGrid w:val="0"/>
        <w:spacing w:line="600" w:lineRule="exact"/>
        <w:ind w:firstLine="642" w:firstLineChars="200"/>
        <w:textAlignment w:val="auto"/>
        <w:rPr>
          <w:rFonts w:hint="default" w:ascii="楷体_GB2312" w:hAnsi="楷体_GB2312" w:eastAsia="楷体_GB2312" w:cs="楷体_GB2312"/>
          <w:b/>
          <w:bCs/>
          <w:color w:val="auto"/>
          <w:w w:val="100"/>
          <w:kern w:val="0"/>
          <w:sz w:val="32"/>
          <w:szCs w:val="32"/>
          <w:shd w:val="clear"/>
          <w:lang w:val="en-US" w:eastAsia="zh-CN"/>
        </w:rPr>
      </w:pPr>
      <w:r>
        <w:rPr>
          <w:rFonts w:hint="eastAsia" w:ascii="楷体_GB2312" w:hAnsi="楷体_GB2312" w:eastAsia="楷体_GB2312" w:cs="楷体_GB2312"/>
          <w:b/>
          <w:bCs/>
          <w:color w:val="auto"/>
          <w:w w:val="100"/>
          <w:kern w:val="0"/>
          <w:sz w:val="32"/>
          <w:szCs w:val="32"/>
          <w:shd w:val="clear"/>
          <w:lang w:val="en-US" w:eastAsia="zh-CN"/>
        </w:rPr>
        <w:t>（三）2026年国有资本经营预算安排</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宋体"/>
          <w:b w:val="0"/>
          <w:bCs w:val="0"/>
          <w:color w:val="auto"/>
          <w:kern w:val="0"/>
          <w:sz w:val="32"/>
          <w:szCs w:val="32"/>
          <w:highlight w:val="none"/>
          <w:lang w:val="en-US" w:eastAsia="zh-CN"/>
        </w:rPr>
      </w:pPr>
      <w:r>
        <w:rPr>
          <w:rFonts w:hint="eastAsia" w:ascii="仿宋_GB2312" w:hAnsi="仿宋" w:eastAsia="仿宋_GB2312" w:cs="宋体"/>
          <w:b w:val="0"/>
          <w:bCs w:val="0"/>
          <w:color w:val="auto"/>
          <w:kern w:val="0"/>
          <w:sz w:val="32"/>
          <w:szCs w:val="32"/>
          <w:highlight w:val="none"/>
          <w:lang w:val="en-US" w:eastAsia="zh-CN"/>
        </w:rPr>
        <w:t>2026年国有资本经营预算上年结余收入39万元，2026年国有资本经营预算支出39万元。</w:t>
      </w:r>
    </w:p>
    <w:p>
      <w:pPr>
        <w:keepNext w:val="0"/>
        <w:keepLines w:val="0"/>
        <w:pageBreakBefore w:val="0"/>
        <w:numPr>
          <w:ilvl w:val="0"/>
          <w:numId w:val="0"/>
        </w:numPr>
        <w:pBdr>
          <w:bottom w:val="single" w:color="FFFFFF" w:sz="4" w:space="31"/>
        </w:pBdr>
        <w:shd w:val="clear" w:color="auto" w:fill="FFFFFF"/>
        <w:tabs>
          <w:tab w:val="left" w:pos="7020"/>
          <w:tab w:val="left" w:pos="7380"/>
        </w:tabs>
        <w:kinsoku/>
        <w:wordWrap/>
        <w:overflowPunct/>
        <w:topLinePunct w:val="0"/>
        <w:autoSpaceDE/>
        <w:autoSpaceDN/>
        <w:bidi w:val="0"/>
        <w:adjustRightInd/>
        <w:snapToGrid w:val="0"/>
        <w:spacing w:line="600" w:lineRule="exact"/>
        <w:ind w:firstLine="642" w:firstLineChars="200"/>
        <w:textAlignment w:val="auto"/>
        <w:rPr>
          <w:rFonts w:hint="default" w:ascii="楷体_GB2312" w:hAnsi="楷体_GB2312" w:eastAsia="楷体_GB2312" w:cs="楷体_GB2312"/>
          <w:b/>
          <w:bCs/>
          <w:color w:val="auto"/>
          <w:w w:val="100"/>
          <w:kern w:val="0"/>
          <w:sz w:val="32"/>
          <w:szCs w:val="32"/>
          <w:shd w:val="clear"/>
          <w:lang w:val="en-US" w:eastAsia="zh-CN"/>
        </w:rPr>
      </w:pPr>
      <w:r>
        <w:rPr>
          <w:rFonts w:hint="eastAsia" w:ascii="楷体_GB2312" w:hAnsi="楷体_GB2312" w:eastAsia="楷体_GB2312" w:cs="楷体_GB2312"/>
          <w:b/>
          <w:bCs/>
          <w:color w:val="auto"/>
          <w:w w:val="100"/>
          <w:kern w:val="0"/>
          <w:sz w:val="32"/>
          <w:szCs w:val="32"/>
          <w:shd w:val="clear"/>
          <w:lang w:val="en-US" w:eastAsia="zh-CN"/>
        </w:rPr>
        <w:t>（四）2026年社会保险基金预算安排</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宋体"/>
          <w:b w:val="0"/>
          <w:bCs w:val="0"/>
          <w:color w:val="auto"/>
          <w:kern w:val="0"/>
          <w:sz w:val="32"/>
          <w:szCs w:val="32"/>
          <w:highlight w:val="none"/>
          <w:lang w:val="en-US" w:eastAsia="zh-CN"/>
        </w:rPr>
      </w:pPr>
      <w:r>
        <w:rPr>
          <w:rFonts w:hint="eastAsia" w:ascii="仿宋_GB2312" w:hAnsi="仿宋" w:eastAsia="仿宋_GB2312" w:cs="宋体"/>
          <w:b w:val="0"/>
          <w:bCs w:val="0"/>
          <w:color w:val="auto"/>
          <w:kern w:val="0"/>
          <w:sz w:val="32"/>
          <w:szCs w:val="32"/>
          <w:highlight w:val="none"/>
          <w:lang w:val="en-US" w:eastAsia="zh-CN"/>
        </w:rPr>
        <w:t>社保基金由市级统筹安排预决算，2026年社会保险基金预算收入35000万元，其中：城乡居民基本养老保险基金预算收入12000万元；机关事业单位基本养老保险基金预算收入23000万元。2026年社会保险基金支出33000万元，其中：城乡居民基本养老保险基金支出11000万元，机关事业单位基本养老保险基金支出22000万元。</w:t>
      </w:r>
    </w:p>
    <w:p>
      <w:pPr>
        <w:keepNext w:val="0"/>
        <w:keepLines w:val="0"/>
        <w:pageBreakBefore w:val="0"/>
        <w:numPr>
          <w:ilvl w:val="0"/>
          <w:numId w:val="0"/>
        </w:numPr>
        <w:pBdr>
          <w:bottom w:val="single" w:color="FFFFFF" w:sz="4" w:space="31"/>
        </w:pBdr>
        <w:shd w:val="clear" w:color="auto" w:fill="FFFFFF"/>
        <w:tabs>
          <w:tab w:val="left" w:pos="7020"/>
          <w:tab w:val="left" w:pos="7380"/>
        </w:tabs>
        <w:kinsoku/>
        <w:wordWrap/>
        <w:overflowPunct/>
        <w:topLinePunct w:val="0"/>
        <w:autoSpaceDE/>
        <w:autoSpaceDN/>
        <w:bidi w:val="0"/>
        <w:adjustRightInd/>
        <w:snapToGrid w:val="0"/>
        <w:spacing w:line="600" w:lineRule="exact"/>
        <w:ind w:firstLine="642" w:firstLineChars="200"/>
        <w:textAlignment w:val="auto"/>
        <w:rPr>
          <w:rFonts w:hint="eastAsia" w:ascii="方正楷体_GB2312" w:hAnsi="方正楷体_GB2312" w:eastAsia="方正楷体_GB2312" w:cs="方正楷体_GB2312"/>
          <w:b/>
          <w:bCs/>
          <w:color w:val="auto"/>
          <w:sz w:val="32"/>
          <w:szCs w:val="32"/>
          <w:lang w:val="en-US" w:eastAsia="zh-CN"/>
        </w:rPr>
      </w:pPr>
      <w:r>
        <w:rPr>
          <w:rFonts w:hint="eastAsia" w:ascii="楷体_GB2312" w:hAnsi="楷体_GB2312" w:eastAsia="楷体_GB2312" w:cs="楷体_GB2312"/>
          <w:b/>
          <w:bCs/>
          <w:color w:val="auto"/>
          <w:w w:val="100"/>
          <w:kern w:val="0"/>
          <w:sz w:val="32"/>
          <w:szCs w:val="32"/>
          <w:shd w:val="clear"/>
          <w:lang w:val="en-US" w:eastAsia="zh-CN"/>
        </w:rPr>
        <w:t>（五）2026年“三公”经费预算情况</w:t>
      </w:r>
    </w:p>
    <w:p>
      <w:pPr>
        <w:keepNext w:val="0"/>
        <w:keepLines w:val="0"/>
        <w:pageBreakBefore w:val="0"/>
        <w:numPr>
          <w:ilvl w:val="0"/>
          <w:numId w:val="0"/>
        </w:numPr>
        <w:pBdr>
          <w:bottom w:val="single" w:color="FFFFFF" w:sz="4" w:space="31"/>
        </w:pBdr>
        <w:kinsoku/>
        <w:wordWrap/>
        <w:overflowPunct/>
        <w:autoSpaceDE/>
        <w:autoSpaceDN/>
        <w:bidi w:val="0"/>
        <w:spacing w:beforeLines="0" w:afterLines="0" w:line="600" w:lineRule="exact"/>
        <w:ind w:firstLine="640" w:firstLineChars="200"/>
        <w:textAlignment w:val="auto"/>
        <w:rPr>
          <w:rFonts w:hint="eastAsia" w:ascii="仿宋_GB2312" w:hAnsi="仿宋" w:eastAsia="仿宋_GB2312" w:cs="宋体"/>
          <w:b w:val="0"/>
          <w:bCs w:val="0"/>
          <w:color w:val="auto"/>
          <w:kern w:val="0"/>
          <w:sz w:val="32"/>
          <w:szCs w:val="32"/>
          <w:highlight w:val="none"/>
          <w:lang w:val="en-US" w:eastAsia="zh-CN"/>
        </w:rPr>
      </w:pPr>
      <w:r>
        <w:rPr>
          <w:rFonts w:hint="eastAsia" w:ascii="仿宋_GB2312" w:hAnsi="仿宋" w:eastAsia="仿宋_GB2312" w:cs="宋体"/>
          <w:b w:val="0"/>
          <w:bCs w:val="0"/>
          <w:color w:val="auto"/>
          <w:kern w:val="0"/>
          <w:sz w:val="32"/>
          <w:szCs w:val="32"/>
          <w:highlight w:val="none"/>
          <w:lang w:val="en-US" w:eastAsia="zh-CN"/>
        </w:rPr>
        <w:t>2026年全县“三公”经费预算462万元，较上年预算减少19.9万元。其中：公务用车购置及运行维护费248万元，较上年减少17.9万元；本年未预算因公出国（出境）费用；预算公务接待费214万元，较上年减少2万元。</w:t>
      </w:r>
    </w:p>
    <w:p>
      <w:pPr>
        <w:keepNext w:val="0"/>
        <w:keepLines w:val="0"/>
        <w:pageBreakBefore w:val="0"/>
        <w:numPr>
          <w:ilvl w:val="0"/>
          <w:numId w:val="0"/>
        </w:numPr>
        <w:pBdr>
          <w:bottom w:val="single" w:color="FFFFFF" w:sz="4" w:space="31"/>
        </w:pBdr>
        <w:shd w:val="clear" w:color="auto" w:fill="FFFFFF"/>
        <w:tabs>
          <w:tab w:val="left" w:pos="7020"/>
          <w:tab w:val="left" w:pos="7380"/>
        </w:tabs>
        <w:kinsoku/>
        <w:wordWrap/>
        <w:overflowPunct/>
        <w:topLinePunct w:val="0"/>
        <w:autoSpaceDE/>
        <w:autoSpaceDN/>
        <w:bidi w:val="0"/>
        <w:adjustRightInd/>
        <w:snapToGrid w:val="0"/>
        <w:spacing w:line="600" w:lineRule="exact"/>
        <w:ind w:firstLine="642" w:firstLineChars="200"/>
        <w:textAlignment w:val="auto"/>
        <w:rPr>
          <w:rFonts w:hint="eastAsia" w:ascii="楷体_GB2312" w:hAnsi="楷体_GB2312" w:eastAsia="楷体_GB2312" w:cs="楷体_GB2312"/>
          <w:b/>
          <w:bCs/>
          <w:color w:val="auto"/>
          <w:w w:val="100"/>
          <w:kern w:val="0"/>
          <w:sz w:val="32"/>
          <w:szCs w:val="32"/>
          <w:shd w:val="clear"/>
          <w:lang w:val="en-US" w:eastAsia="zh-CN"/>
        </w:rPr>
      </w:pPr>
      <w:r>
        <w:rPr>
          <w:rFonts w:hint="eastAsia" w:ascii="楷体_GB2312" w:hAnsi="楷体_GB2312" w:eastAsia="楷体_GB2312" w:cs="楷体_GB2312"/>
          <w:b/>
          <w:bCs/>
          <w:color w:val="auto"/>
          <w:w w:val="100"/>
          <w:kern w:val="0"/>
          <w:sz w:val="32"/>
          <w:szCs w:val="32"/>
          <w:shd w:val="clear"/>
          <w:lang w:val="en-US" w:eastAsia="zh-CN"/>
        </w:rPr>
        <w:t>（六）2026年“三保”支出预算安排情况</w:t>
      </w:r>
    </w:p>
    <w:p>
      <w:pPr>
        <w:keepNext w:val="0"/>
        <w:keepLines w:val="0"/>
        <w:pageBreakBefore w:val="0"/>
        <w:numPr>
          <w:ilvl w:val="0"/>
          <w:numId w:val="0"/>
        </w:numPr>
        <w:pBdr>
          <w:bottom w:val="single" w:color="FFFFFF" w:sz="4" w:space="31"/>
        </w:pBdr>
        <w:kinsoku/>
        <w:wordWrap/>
        <w:overflowPunct/>
        <w:autoSpaceDE/>
        <w:autoSpaceDN/>
        <w:bidi w:val="0"/>
        <w:spacing w:beforeLines="0" w:afterLines="0" w:line="600" w:lineRule="exact"/>
        <w:ind w:firstLine="640" w:firstLineChars="200"/>
        <w:textAlignment w:val="auto"/>
        <w:rPr>
          <w:rFonts w:hint="eastAsia" w:ascii="仿宋_GB2312" w:hAnsi="仿宋" w:eastAsia="仿宋_GB2312" w:cs="宋体"/>
          <w:b w:val="0"/>
          <w:bCs w:val="0"/>
          <w:color w:val="auto"/>
          <w:kern w:val="0"/>
          <w:sz w:val="32"/>
          <w:szCs w:val="32"/>
          <w:highlight w:val="none"/>
          <w:lang w:val="en-US" w:eastAsia="zh-CN"/>
        </w:rPr>
      </w:pPr>
      <w:r>
        <w:rPr>
          <w:rFonts w:hint="eastAsia" w:ascii="仿宋_GB2312" w:hAnsi="仿宋" w:eastAsia="仿宋_GB2312" w:cs="宋体"/>
          <w:b w:val="0"/>
          <w:bCs w:val="0"/>
          <w:color w:val="auto"/>
          <w:kern w:val="0"/>
          <w:sz w:val="32"/>
          <w:szCs w:val="32"/>
          <w:highlight w:val="none"/>
          <w:lang w:val="en-US" w:eastAsia="zh-CN"/>
        </w:rPr>
        <w:t>2026年预计“三保”总支出163419万元，其中“保基本民生”支出58013万元，“保工资”支出96919万元，“保运转”支出8487万元。</w:t>
      </w:r>
    </w:p>
    <w:p>
      <w:pPr>
        <w:keepNext w:val="0"/>
        <w:keepLines w:val="0"/>
        <w:pageBreakBefore w:val="0"/>
        <w:numPr>
          <w:ilvl w:val="0"/>
          <w:numId w:val="0"/>
        </w:numPr>
        <w:pBdr>
          <w:bottom w:val="single" w:color="FFFFFF" w:sz="4" w:space="31"/>
        </w:pBdr>
        <w:shd w:val="clear" w:color="auto" w:fill="FFFFFF"/>
        <w:tabs>
          <w:tab w:val="left" w:pos="7020"/>
          <w:tab w:val="left" w:pos="7380"/>
        </w:tabs>
        <w:kinsoku/>
        <w:wordWrap/>
        <w:overflowPunct/>
        <w:topLinePunct w:val="0"/>
        <w:autoSpaceDE/>
        <w:autoSpaceDN/>
        <w:bidi w:val="0"/>
        <w:adjustRightInd/>
        <w:snapToGrid w:val="0"/>
        <w:spacing w:line="600" w:lineRule="exact"/>
        <w:ind w:firstLine="642" w:firstLineChars="200"/>
        <w:textAlignment w:val="auto"/>
        <w:rPr>
          <w:rFonts w:hint="eastAsia" w:ascii="楷体_GB2312" w:hAnsi="楷体_GB2312" w:eastAsia="楷体_GB2312" w:cs="楷体_GB2312"/>
          <w:b/>
          <w:bCs/>
          <w:color w:val="auto"/>
          <w:w w:val="100"/>
          <w:kern w:val="0"/>
          <w:sz w:val="32"/>
          <w:szCs w:val="32"/>
          <w:shd w:val="clear"/>
          <w:lang w:val="en-US" w:eastAsia="zh-CN"/>
        </w:rPr>
      </w:pPr>
      <w:r>
        <w:rPr>
          <w:rFonts w:hint="eastAsia" w:ascii="楷体_GB2312" w:hAnsi="楷体_GB2312" w:eastAsia="楷体_GB2312" w:cs="楷体_GB2312"/>
          <w:b/>
          <w:bCs/>
          <w:color w:val="auto"/>
          <w:w w:val="100"/>
          <w:kern w:val="0"/>
          <w:sz w:val="32"/>
          <w:szCs w:val="32"/>
          <w:shd w:val="clear"/>
          <w:lang w:val="en-US" w:eastAsia="zh-CN"/>
        </w:rPr>
        <w:t>（七）2026年财政重点工作</w:t>
      </w:r>
    </w:p>
    <w:p>
      <w:pPr>
        <w:keepNext w:val="0"/>
        <w:keepLines w:val="0"/>
        <w:pageBreakBefore w:val="0"/>
        <w:numPr>
          <w:ilvl w:val="0"/>
          <w:numId w:val="0"/>
        </w:numPr>
        <w:pBdr>
          <w:bottom w:val="single" w:color="FFFFFF" w:sz="4" w:space="31"/>
        </w:pBdr>
        <w:kinsoku/>
        <w:wordWrap/>
        <w:overflowPunct/>
        <w:autoSpaceDE/>
        <w:autoSpaceDN/>
        <w:bidi w:val="0"/>
        <w:spacing w:beforeLines="0" w:afterLines="0" w:line="600" w:lineRule="exact"/>
        <w:ind w:firstLine="642"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1.强化财政收入征管。</w:t>
      </w:r>
      <w:r>
        <w:rPr>
          <w:rFonts w:hint="eastAsia" w:ascii="仿宋_GB2312" w:hAnsi="仿宋_GB2312" w:eastAsia="仿宋_GB2312" w:cs="仿宋_GB2312"/>
          <w:b w:val="0"/>
          <w:bCs/>
          <w:color w:val="auto"/>
          <w:sz w:val="32"/>
          <w:szCs w:val="32"/>
          <w:lang w:val="en-US" w:eastAsia="zh-CN"/>
        </w:rPr>
        <w:t>进一步加强税收和非税收入协同征管，完善综合治税机制，强化税源监控，堵塞征管漏洞，确保财政收入应收尽收。加强与税务部门的协作配合，建立健全信息共享机制，提高税收征管效率。同时，积极培育新的财源增长点，加大对新兴产业、现代服务业的扶持力度，优化财政收入结构，增强财政收入的稳定性和可持续性。</w:t>
      </w:r>
    </w:p>
    <w:p>
      <w:pPr>
        <w:keepNext w:val="0"/>
        <w:keepLines w:val="0"/>
        <w:pageBreakBefore w:val="0"/>
        <w:numPr>
          <w:ilvl w:val="0"/>
          <w:numId w:val="0"/>
        </w:numPr>
        <w:pBdr>
          <w:bottom w:val="single" w:color="FFFFFF" w:sz="4" w:space="31"/>
        </w:pBdr>
        <w:kinsoku/>
        <w:wordWrap/>
        <w:overflowPunct/>
        <w:autoSpaceDE/>
        <w:autoSpaceDN/>
        <w:bidi w:val="0"/>
        <w:spacing w:beforeLines="0" w:afterLines="0" w:line="600" w:lineRule="exact"/>
        <w:ind w:firstLine="642"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2.优化财政支出结构。</w:t>
      </w:r>
      <w:r>
        <w:rPr>
          <w:rFonts w:hint="eastAsia" w:ascii="仿宋_GB2312" w:hAnsi="仿宋_GB2312" w:eastAsia="仿宋_GB2312" w:cs="仿宋_GB2312"/>
          <w:b w:val="0"/>
          <w:bCs/>
          <w:color w:val="auto"/>
          <w:sz w:val="32"/>
          <w:szCs w:val="32"/>
          <w:lang w:val="en-US" w:eastAsia="zh-CN"/>
        </w:rPr>
        <w:t>牢固树立过“紧日子”思想，严格控制一般性支出和“三公”经费支出，大力压减非刚性、非重点项目支出，集中财力保障“三保”、重点领域和重大项目支出需求。加强财政资金统筹整合，提高资金使用的整体性和协同性。建立健全财政支出绩效评价体系，加强对财政资金使用效益的跟踪评价，对绩效评价结果差的项目，相应减少或暂停资金安排。</w:t>
      </w:r>
    </w:p>
    <w:p>
      <w:pPr>
        <w:keepNext w:val="0"/>
        <w:keepLines w:val="0"/>
        <w:pageBreakBefore w:val="0"/>
        <w:numPr>
          <w:ilvl w:val="0"/>
          <w:numId w:val="0"/>
        </w:numPr>
        <w:pBdr>
          <w:bottom w:val="single" w:color="FFFFFF" w:sz="4" w:space="31"/>
        </w:pBdr>
        <w:kinsoku/>
        <w:wordWrap/>
        <w:overflowPunct/>
        <w:autoSpaceDE/>
        <w:autoSpaceDN/>
        <w:bidi w:val="0"/>
        <w:spacing w:beforeLines="0" w:afterLines="0" w:line="600" w:lineRule="exact"/>
        <w:ind w:firstLine="642" w:firstLineChars="200"/>
        <w:textAlignment w:val="auto"/>
        <w:rPr>
          <w:rFonts w:hint="default"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3.全面深化零基预算改革。</w:t>
      </w:r>
      <w:r>
        <w:rPr>
          <w:rFonts w:hint="eastAsia" w:ascii="仿宋_GB2312" w:hAnsi="仿宋_GB2312" w:eastAsia="仿宋_GB2312" w:cs="仿宋_GB2312"/>
          <w:b w:val="0"/>
          <w:bCs/>
          <w:color w:val="auto"/>
          <w:sz w:val="32"/>
          <w:szCs w:val="32"/>
          <w:lang w:val="en-US" w:eastAsia="zh-CN"/>
        </w:rPr>
        <w:t>全面深化零基预算改革，坚持从零起步、去基数化、绩效导向，严格对照年度重点任务与财力状况，全面梳理存量资金、优化支出结构、规范项目管理，健全预算编制、执行、监督、绩效闭环管理机制，强化项目库建设与支出标准管控，坚决压减低效无效支出，集中财力保三保、保重点、保民生、保发展，不断提升财政资源配置效率和资金使用效益，推动预算管理更加规范、透明、高效。</w:t>
      </w:r>
    </w:p>
    <w:p>
      <w:pPr>
        <w:keepNext w:val="0"/>
        <w:keepLines w:val="0"/>
        <w:pageBreakBefore w:val="0"/>
        <w:numPr>
          <w:ilvl w:val="0"/>
          <w:numId w:val="0"/>
        </w:numPr>
        <w:pBdr>
          <w:bottom w:val="single" w:color="FFFFFF" w:sz="4" w:space="31"/>
        </w:pBdr>
        <w:kinsoku/>
        <w:wordWrap/>
        <w:overflowPunct/>
        <w:autoSpaceDE/>
        <w:autoSpaceDN/>
        <w:bidi w:val="0"/>
        <w:spacing w:beforeLines="0" w:afterLines="0" w:line="600" w:lineRule="exact"/>
        <w:ind w:firstLine="642"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4.防范化解政府债务风险。</w:t>
      </w:r>
      <w:r>
        <w:rPr>
          <w:rFonts w:hint="eastAsia" w:ascii="仿宋_GB2312" w:hAnsi="仿宋_GB2312" w:eastAsia="仿宋_GB2312" w:cs="仿宋_GB2312"/>
          <w:b w:val="0"/>
          <w:bCs/>
          <w:color w:val="auto"/>
          <w:sz w:val="32"/>
          <w:szCs w:val="32"/>
          <w:lang w:val="en-US" w:eastAsia="zh-CN"/>
        </w:rPr>
        <w:t>严格落实政府债务限额管理和预算管理制度，规范政府举债融资行为，坚决遏制隐性债务增量。加强债务风险监测预警，建立健全债务风险预警指标体系，实时跟踪债务风险状况。积极稳妥化解存量债务，通过安排财政资金、盘活资产资源等方式，逐步降低债务规模，确保政府债务风险可控。</w:t>
      </w:r>
    </w:p>
    <w:p>
      <w:pPr>
        <w:keepNext w:val="0"/>
        <w:keepLines w:val="0"/>
        <w:pageBreakBefore w:val="0"/>
        <w:numPr>
          <w:ilvl w:val="0"/>
          <w:numId w:val="0"/>
        </w:numPr>
        <w:pBdr>
          <w:bottom w:val="single" w:color="FFFFFF" w:sz="4" w:space="31"/>
        </w:pBdr>
        <w:kinsoku/>
        <w:wordWrap/>
        <w:overflowPunct/>
        <w:autoSpaceDE/>
        <w:autoSpaceDN/>
        <w:bidi w:val="0"/>
        <w:spacing w:beforeLines="0" w:afterLines="0" w:line="600" w:lineRule="exact"/>
        <w:ind w:firstLine="642"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5.加强财政资金绩效管理。</w:t>
      </w:r>
      <w:r>
        <w:rPr>
          <w:rFonts w:hint="eastAsia" w:ascii="仿宋_GB2312" w:hAnsi="仿宋_GB2312" w:eastAsia="仿宋_GB2312" w:cs="仿宋_GB2312"/>
          <w:b w:val="0"/>
          <w:bCs/>
          <w:color w:val="auto"/>
          <w:sz w:val="32"/>
          <w:szCs w:val="32"/>
          <w:lang w:val="en-US" w:eastAsia="zh-CN"/>
        </w:rPr>
        <w:t>全面实施预算绩效管理，将绩效管理贯穿预算编制、执行、监督全过程。建立健全科学合理的绩效评价指标体系，针对不同领域、不同类型的项目，制定差异化的评价指标，提高绩效评价的科学性和准确性。强化绩效评价结果应用，将评价结果作为预算安排和调整的重要依据，对绩效好的项目给予优先保障和支持，对绩效差的项目进行整改或削减预算。</w:t>
      </w:r>
    </w:p>
    <w:p>
      <w:pPr>
        <w:keepNext w:val="0"/>
        <w:keepLines w:val="0"/>
        <w:pageBreakBefore w:val="0"/>
        <w:numPr>
          <w:ilvl w:val="0"/>
          <w:numId w:val="0"/>
        </w:numPr>
        <w:pBdr>
          <w:bottom w:val="single" w:color="FFFFFF" w:sz="4" w:space="31"/>
        </w:pBdr>
        <w:kinsoku/>
        <w:wordWrap/>
        <w:overflowPunct/>
        <w:autoSpaceDE/>
        <w:autoSpaceDN/>
        <w:bidi w:val="0"/>
        <w:spacing w:beforeLines="0" w:afterLines="0" w:line="600" w:lineRule="exact"/>
        <w:ind w:firstLine="642"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6.强化财政资金监督管理。</w:t>
      </w:r>
      <w:r>
        <w:rPr>
          <w:rFonts w:hint="eastAsia" w:ascii="仿宋_GB2312" w:hAnsi="仿宋_GB2312" w:eastAsia="仿宋_GB2312" w:cs="仿宋_GB2312"/>
          <w:b w:val="0"/>
          <w:bCs/>
          <w:color w:val="auto"/>
          <w:sz w:val="32"/>
          <w:szCs w:val="32"/>
          <w:lang w:val="en-US" w:eastAsia="zh-CN"/>
        </w:rPr>
        <w:t>聚焦产业发展、乡村振兴等重大项目，严格按照各类专项资金管理办法，持续加大财政监督检查力度，不定期组织业务骨干深入各部门、乡镇对财政资金使用情况进行督导检查，确保财政资金使用安全；继续开展财政衔接资金动态监控，实现对财政衔接资金的分配、下达、使用和绩效评价等方面全流程管理。</w:t>
      </w:r>
    </w:p>
    <w:p>
      <w:pPr>
        <w:keepNext w:val="0"/>
        <w:keepLines w:val="0"/>
        <w:pageBreakBefore w:val="0"/>
        <w:numPr>
          <w:ilvl w:val="0"/>
          <w:numId w:val="0"/>
        </w:numPr>
        <w:pBdr>
          <w:bottom w:val="single" w:color="FFFFFF" w:sz="4" w:space="31"/>
        </w:pBdr>
        <w:kinsoku/>
        <w:wordWrap/>
        <w:overflowPunct/>
        <w:autoSpaceDE/>
        <w:autoSpaceDN/>
        <w:bidi w:val="0"/>
        <w:spacing w:beforeLines="0" w:afterLines="0" w:line="600" w:lineRule="exact"/>
        <w:ind w:firstLine="640"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val="en-US" w:eastAsia="zh-CN"/>
        </w:rPr>
        <w:t>2026年，我们</w:t>
      </w:r>
      <w:r>
        <w:rPr>
          <w:rFonts w:hint="eastAsia" w:ascii="仿宋_GB2312" w:hAnsi="仿宋_GB2312" w:eastAsia="仿宋_GB2312" w:cs="仿宋_GB2312"/>
          <w:b w:val="0"/>
          <w:bCs/>
          <w:color w:val="auto"/>
          <w:sz w:val="32"/>
          <w:szCs w:val="32"/>
        </w:rPr>
        <w:t>将紧紧依靠县委、县政府的正确领导和县人大、县政协的有力监督，</w:t>
      </w:r>
      <w:r>
        <w:rPr>
          <w:rFonts w:hint="eastAsia" w:ascii="仿宋_GB2312" w:hAnsi="仿宋_GB2312" w:eastAsia="仿宋_GB2312" w:cs="仿宋_GB2312"/>
          <w:b w:val="0"/>
          <w:bCs/>
          <w:color w:val="auto"/>
          <w:sz w:val="32"/>
          <w:szCs w:val="32"/>
          <w:lang w:eastAsia="zh-CN"/>
        </w:rPr>
        <w:t>全面落实</w:t>
      </w:r>
      <w:r>
        <w:rPr>
          <w:rFonts w:hint="eastAsia" w:ascii="仿宋_GB2312" w:hAnsi="仿宋_GB2312" w:eastAsia="仿宋_GB2312" w:cs="仿宋_GB2312"/>
          <w:b w:val="0"/>
          <w:bCs/>
          <w:color w:val="auto"/>
          <w:sz w:val="32"/>
          <w:szCs w:val="32"/>
          <w:lang w:val="en-US" w:eastAsia="zh-CN"/>
        </w:rPr>
        <w:t>“积极的财政政策要适度加力、提质增效”工作要求</w:t>
      </w:r>
      <w:r>
        <w:rPr>
          <w:rFonts w:hint="eastAsia" w:ascii="仿宋_GB2312" w:hAnsi="仿宋_GB2312" w:eastAsia="仿宋_GB2312" w:cs="仿宋_GB2312"/>
          <w:b w:val="0"/>
          <w:bCs/>
          <w:color w:val="auto"/>
          <w:sz w:val="32"/>
          <w:szCs w:val="32"/>
        </w:rPr>
        <w:t>，充分发挥财政宏观调控</w:t>
      </w:r>
      <w:r>
        <w:rPr>
          <w:rFonts w:hint="eastAsia" w:ascii="仿宋_GB2312" w:hAnsi="仿宋_GB2312" w:eastAsia="仿宋_GB2312" w:cs="仿宋_GB2312"/>
          <w:b w:val="0"/>
          <w:bCs/>
          <w:color w:val="auto"/>
          <w:sz w:val="32"/>
          <w:szCs w:val="32"/>
          <w:lang w:eastAsia="zh-CN"/>
        </w:rPr>
        <w:t>功能</w:t>
      </w:r>
      <w:r>
        <w:rPr>
          <w:rFonts w:hint="eastAsia" w:ascii="仿宋_GB2312" w:hAnsi="仿宋_GB2312" w:eastAsia="仿宋_GB2312" w:cs="仿宋_GB2312"/>
          <w:b w:val="0"/>
          <w:bCs/>
          <w:color w:val="auto"/>
          <w:sz w:val="32"/>
          <w:szCs w:val="32"/>
        </w:rPr>
        <w:t>和</w:t>
      </w:r>
      <w:r>
        <w:rPr>
          <w:rFonts w:hint="eastAsia" w:ascii="仿宋_GB2312" w:hAnsi="仿宋_GB2312" w:eastAsia="仿宋_GB2312" w:cs="仿宋_GB2312"/>
          <w:b w:val="0"/>
          <w:bCs/>
          <w:color w:val="auto"/>
          <w:sz w:val="32"/>
          <w:szCs w:val="32"/>
          <w:lang w:eastAsia="zh-CN"/>
        </w:rPr>
        <w:t>资源配置作用</w:t>
      </w:r>
      <w:r>
        <w:rPr>
          <w:rFonts w:hint="eastAsia" w:ascii="仿宋_GB2312" w:hAnsi="仿宋_GB2312" w:eastAsia="仿宋_GB2312" w:cs="仿宋_GB2312"/>
          <w:b w:val="0"/>
          <w:bCs/>
          <w:color w:val="auto"/>
          <w:sz w:val="32"/>
          <w:szCs w:val="32"/>
        </w:rPr>
        <w:t>，实现财政政策更加精准,财政保障更加高效,财政管理更加科学，为县域经济社会</w:t>
      </w:r>
      <w:r>
        <w:rPr>
          <w:rFonts w:hint="eastAsia" w:ascii="仿宋_GB2312" w:hAnsi="仿宋_GB2312" w:eastAsia="仿宋_GB2312" w:cs="仿宋_GB2312"/>
          <w:b w:val="0"/>
          <w:bCs/>
          <w:color w:val="auto"/>
          <w:sz w:val="32"/>
          <w:szCs w:val="32"/>
          <w:lang w:val="en-US" w:eastAsia="zh-CN"/>
        </w:rPr>
        <w:t>高质量</w:t>
      </w:r>
      <w:r>
        <w:rPr>
          <w:rFonts w:hint="eastAsia" w:ascii="仿宋_GB2312" w:hAnsi="仿宋_GB2312" w:eastAsia="仿宋_GB2312" w:cs="仿宋_GB2312"/>
          <w:b w:val="0"/>
          <w:bCs/>
          <w:color w:val="auto"/>
          <w:sz w:val="32"/>
          <w:szCs w:val="32"/>
        </w:rPr>
        <w:t>发展提供强有力的财力保障</w:t>
      </w:r>
      <w:r>
        <w:rPr>
          <w:rFonts w:hint="eastAsia" w:ascii="仿宋_GB2312" w:hAnsi="仿宋_GB2312" w:eastAsia="仿宋_GB2312" w:cs="仿宋_GB2312"/>
          <w:b w:val="0"/>
          <w:bCs/>
          <w:color w:val="auto"/>
          <w:sz w:val="32"/>
          <w:szCs w:val="32"/>
          <w:lang w:eastAsia="zh-CN"/>
        </w:rPr>
        <w:t>。</w:t>
      </w: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bookmarkStart w:id="2" w:name="_GoBack"/>
      <w:bookmarkEnd w:id="2"/>
    </w:p>
    <w:p>
      <w:pPr>
        <w:widowControl/>
        <w:spacing w:beforeLines="0" w:afterLines="0"/>
        <w:rPr>
          <w:rFonts w:hint="eastAsia" w:ascii="仿宋_GB2312" w:hAnsi="仿宋" w:eastAsia="仿宋_GB2312" w:cs="宋体"/>
          <w:b w:val="0"/>
          <w:bCs w:val="0"/>
          <w:color w:val="auto"/>
          <w:kern w:val="0"/>
          <w:sz w:val="32"/>
          <w:szCs w:val="32"/>
          <w:highlight w:val="none"/>
          <w:lang w:val="en-US" w:eastAsia="zh-CN"/>
        </w:rPr>
      </w:pPr>
      <w:r>
        <w:rPr>
          <w:rFonts w:ascii="Malgun Gothic" w:hAnsi="Malgun Gothic" w:eastAsia="宋体" w:cs="Times New Roman"/>
          <w:w w:val="100"/>
          <w:kern w:val="0"/>
          <w:sz w:val="20"/>
          <w:szCs w:val="21"/>
          <w:shd w:val="clear"/>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38100</wp:posOffset>
                </wp:positionV>
                <wp:extent cx="5372100" cy="0"/>
                <wp:effectExtent l="0" t="4445" r="0" b="5080"/>
                <wp:wrapNone/>
                <wp:docPr id="1" name="直接箭头连接符 1"/>
                <wp:cNvGraphicFramePr/>
                <a:graphic xmlns:a="http://schemas.openxmlformats.org/drawingml/2006/main">
                  <a:graphicData uri="http://schemas.microsoft.com/office/word/2010/wordprocessingShape">
                    <wps:wsp>
                      <wps:cNvCnPr/>
                      <wps:spPr>
                        <a:xfrm>
                          <a:off x="0" y="0"/>
                          <a:ext cx="537210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0.5pt;margin-top:3pt;height:0pt;width:423pt;z-index:251660288;mso-width-relative:page;mso-height-relative:page;" filled="f" stroked="t" coordsize="21600,21600" o:gfxdata="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MdT9WvUAAAABgEAAA8AAAAAAAAAAQAgAAAAOAAAAGRycy9kb3ducmV2Lnht&#10;bFBLAQIUABQAAAAIAIdO4kCz7XAR5wEAAKgDAAAOAAAAAAAAAAEAIAAAADkBAABkcnMvZTJvRG9j&#10;LnhtbFBLBQYAAAAABgAGAFkBAACSBQAAAAA=&#10;">
                <v:fill on="f" focussize="0,0"/>
                <v:stroke color="#000000" joinstyle="round"/>
                <v:imagedata o:title=""/>
                <o:lock v:ext="edit" aspectratio="f"/>
              </v:shape>
            </w:pict>
          </mc:Fallback>
        </mc:AlternateContent>
      </w:r>
      <w:r>
        <w:rPr>
          <w:rFonts w:ascii="Malgun Gothic" w:hAnsi="Malgun Gothic" w:eastAsia="宋体" w:cs="Times New Roman"/>
          <w:w w:val="100"/>
          <w:kern w:val="0"/>
          <w:sz w:val="20"/>
          <w:szCs w:val="21"/>
          <w:shd w:val="clear"/>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393700</wp:posOffset>
                </wp:positionV>
                <wp:extent cx="5372100" cy="0"/>
                <wp:effectExtent l="0" t="4445" r="0" b="5080"/>
                <wp:wrapNone/>
                <wp:docPr id="4" name="直接箭头连接符 4"/>
                <wp:cNvGraphicFramePr/>
                <a:graphic xmlns:a="http://schemas.openxmlformats.org/drawingml/2006/main">
                  <a:graphicData uri="http://schemas.microsoft.com/office/word/2010/wordprocessingShape">
                    <wps:wsp>
                      <wps:cNvCnPr/>
                      <wps:spPr>
                        <a:xfrm>
                          <a:off x="0" y="0"/>
                          <a:ext cx="537210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0pt;margin-top:31pt;height:0pt;width:423pt;z-index:251660288;mso-width-relative:page;mso-height-relative:page;" filled="f" stroked="t" coordsize="21600,21600" o:gfxdata="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UVNdt9QAAAAGAQAADwAAAAAAAAABACAAAAA4AAAAZHJzL2Rvd25yZXYu&#10;eG1sUEsBAhQAFAAAAAgAh07iQEaMsxjpAQAAqAMAAA4AAAAAAAAAAQAgAAAAOQEAAGRycy9lMm9E&#10;b2MueG1sUEsFBgAAAAAGAAYAWQEAAJQFAAAAAA==&#10;">
                <v:fill on="f" focussize="0,0"/>
                <v:stroke color="#000000" joinstyle="round"/>
                <v:imagedata o:title=""/>
                <o:lock v:ext="edit" aspectratio="f"/>
              </v:shape>
            </w:pict>
          </mc:Fallback>
        </mc:AlternateContent>
      </w:r>
      <w:r>
        <w:rPr>
          <w:rFonts w:hint="default" w:ascii="楷体" w:hAnsi="楷体" w:eastAsia="楷体" w:cs="Times New Roman"/>
          <w:b/>
          <w:color w:val="auto"/>
          <w:spacing w:val="0"/>
          <w:w w:val="100"/>
          <w:kern w:val="0"/>
          <w:position w:val="0"/>
          <w:sz w:val="32"/>
          <w:szCs w:val="32"/>
          <w:shd w:val="clear"/>
        </w:rPr>
        <w:t>清涧县第十</w:t>
      </w:r>
      <w:r>
        <w:rPr>
          <w:rFonts w:hint="eastAsia" w:ascii="楷体" w:hAnsi="楷体" w:eastAsia="楷体" w:cs="Times New Roman"/>
          <w:b/>
          <w:color w:val="auto"/>
          <w:spacing w:val="0"/>
          <w:w w:val="100"/>
          <w:kern w:val="0"/>
          <w:position w:val="0"/>
          <w:sz w:val="32"/>
          <w:szCs w:val="32"/>
          <w:shd w:val="clear"/>
          <w:lang w:eastAsia="zh-CN"/>
        </w:rPr>
        <w:t>九</w:t>
      </w:r>
      <w:r>
        <w:rPr>
          <w:rFonts w:hint="default" w:ascii="楷体" w:hAnsi="楷体" w:eastAsia="楷体" w:cs="Times New Roman"/>
          <w:b/>
          <w:color w:val="auto"/>
          <w:spacing w:val="0"/>
          <w:w w:val="100"/>
          <w:kern w:val="0"/>
          <w:position w:val="0"/>
          <w:sz w:val="32"/>
          <w:szCs w:val="32"/>
          <w:shd w:val="clear"/>
        </w:rPr>
        <w:t>届人民代表大会第</w:t>
      </w:r>
      <w:r>
        <w:rPr>
          <w:rFonts w:hint="eastAsia" w:ascii="楷体" w:hAnsi="楷体" w:eastAsia="楷体" w:cs="Times New Roman"/>
          <w:b/>
          <w:color w:val="auto"/>
          <w:spacing w:val="0"/>
          <w:w w:val="100"/>
          <w:kern w:val="0"/>
          <w:position w:val="0"/>
          <w:sz w:val="32"/>
          <w:szCs w:val="32"/>
          <w:shd w:val="clear"/>
          <w:lang w:val="en-US" w:eastAsia="zh-CN"/>
        </w:rPr>
        <w:t>五</w:t>
      </w:r>
      <w:r>
        <w:rPr>
          <w:rFonts w:hint="default" w:ascii="楷体" w:hAnsi="楷体" w:eastAsia="楷体" w:cs="Times New Roman"/>
          <w:b/>
          <w:color w:val="auto"/>
          <w:spacing w:val="0"/>
          <w:w w:val="100"/>
          <w:kern w:val="0"/>
          <w:position w:val="0"/>
          <w:sz w:val="32"/>
          <w:szCs w:val="32"/>
          <w:shd w:val="clear"/>
        </w:rPr>
        <w:t xml:space="preserve">次会议大会秘书处 </w:t>
      </w:r>
      <w:r>
        <w:rPr>
          <w:rFonts w:hint="eastAsia" w:ascii="楷体" w:hAnsi="楷体" w:eastAsia="楷体" w:cs="Times New Roman"/>
          <w:b/>
          <w:color w:val="auto"/>
          <w:spacing w:val="0"/>
          <w:w w:val="100"/>
          <w:kern w:val="0"/>
          <w:position w:val="0"/>
          <w:sz w:val="32"/>
          <w:szCs w:val="32"/>
          <w:shd w:val="clear"/>
          <w:lang w:val="en-US" w:eastAsia="zh-CN"/>
        </w:rPr>
        <w:t xml:space="preserve"> </w:t>
      </w:r>
      <w:r>
        <w:rPr>
          <w:rFonts w:hint="default" w:ascii="楷体" w:hAnsi="楷体" w:eastAsia="楷体" w:cs="Times New Roman"/>
          <w:b/>
          <w:color w:val="auto"/>
          <w:spacing w:val="0"/>
          <w:w w:val="100"/>
          <w:kern w:val="0"/>
          <w:position w:val="0"/>
          <w:sz w:val="32"/>
          <w:szCs w:val="32"/>
          <w:shd w:val="clear"/>
        </w:rPr>
        <w:t xml:space="preserve"> 印</w:t>
      </w:r>
      <w:r>
        <w:rPr>
          <w:rFonts w:hint="eastAsia" w:ascii="楷体" w:hAnsi="楷体" w:eastAsia="楷体" w:cs="楷体"/>
          <w:b/>
          <w:color w:val="auto"/>
          <w:kern w:val="0"/>
          <w:sz w:val="36"/>
          <w:szCs w:val="36"/>
        </w:rPr>
        <w:t xml:space="preserve">    </w:t>
      </w:r>
    </w:p>
    <w:sectPr>
      <w:footerReference r:id="rId3" w:type="default"/>
      <w:pgSz w:w="11906" w:h="16838"/>
      <w:pgMar w:top="2098" w:right="1531" w:bottom="1984" w:left="1531" w:header="851" w:footer="992" w:gutter="0"/>
      <w:pgNumType w:fmt="decimal"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楷体_GB2312">
    <w:altName w:val="方正楷体_GBK"/>
    <w:panose1 w:val="02010609030101010101"/>
    <w:charset w:val="86"/>
    <w:family w:val="modern"/>
    <w:pitch w:val="default"/>
    <w:sig w:usb0="00000000" w:usb1="00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华文楷体">
    <w:altName w:val="方正楷体_GBK"/>
    <w:panose1 w:val="02010600040101010101"/>
    <w:charset w:val="86"/>
    <w:family w:val="auto"/>
    <w:pitch w:val="default"/>
    <w:sig w:usb0="00000000" w:usb1="00000000" w:usb2="00000000" w:usb3="00000000" w:csb0="0004009F" w:csb1="DFD70000"/>
  </w:font>
  <w:font w:name="方正楷体_GB2312">
    <w:altName w:val="方正楷体_GBK"/>
    <w:panose1 w:val="02000000000000000000"/>
    <w:charset w:val="86"/>
    <w:family w:val="auto"/>
    <w:pitch w:val="default"/>
    <w:sig w:usb0="00000000" w:usb1="00000000" w:usb2="00000012" w:usb3="00000000" w:csb0="00040001" w:csb1="00000000"/>
  </w:font>
  <w:font w:name="华文行楷">
    <w:altName w:val="汉仪行楷简"/>
    <w:panose1 w:val="02010800040101010101"/>
    <w:charset w:val="86"/>
    <w:family w:val="auto"/>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Malgun Gothic">
    <w:altName w:val="方正书宋_GBK"/>
    <w:panose1 w:val="020B0503020000020004"/>
    <w:charset w:val="81"/>
    <w:family w:val="auto"/>
    <w:pitch w:val="default"/>
    <w:sig w:usb0="00000000" w:usb1="00000000" w:usb2="00000012" w:usb3="00000000" w:csb0="0008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楷体_GBK">
    <w:panose1 w:val="02000000000000000000"/>
    <w:charset w:val="86"/>
    <w:family w:val="auto"/>
    <w:pitch w:val="default"/>
    <w:sig w:usb0="00000001" w:usb1="08000000" w:usb2="00000000" w:usb3="00000000" w:csb0="00040000" w:csb1="00000000"/>
  </w:font>
  <w:font w:name="汉仪行楷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false"/>
  <w:bordersDoNotSurroundFooter w:val="false"/>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3NThjMWMxYTI0ZjZiODNmM2RkMzQ3MWEwYmNmZmEifQ=="/>
  </w:docVars>
  <w:rsids>
    <w:rsidRoot w:val="00172A27"/>
    <w:rsid w:val="000D5174"/>
    <w:rsid w:val="001D3BF9"/>
    <w:rsid w:val="002459F4"/>
    <w:rsid w:val="002E687C"/>
    <w:rsid w:val="00341977"/>
    <w:rsid w:val="003C6839"/>
    <w:rsid w:val="004F4639"/>
    <w:rsid w:val="005850E3"/>
    <w:rsid w:val="006B7E08"/>
    <w:rsid w:val="00846E81"/>
    <w:rsid w:val="00A75672"/>
    <w:rsid w:val="00B2126D"/>
    <w:rsid w:val="00B80A01"/>
    <w:rsid w:val="00C24781"/>
    <w:rsid w:val="00D70229"/>
    <w:rsid w:val="00D7616E"/>
    <w:rsid w:val="010346F4"/>
    <w:rsid w:val="014C5056"/>
    <w:rsid w:val="015C3ADD"/>
    <w:rsid w:val="0180420E"/>
    <w:rsid w:val="01B46085"/>
    <w:rsid w:val="01E67427"/>
    <w:rsid w:val="027C74A2"/>
    <w:rsid w:val="02E426C7"/>
    <w:rsid w:val="0306683D"/>
    <w:rsid w:val="03A11052"/>
    <w:rsid w:val="03A64FA9"/>
    <w:rsid w:val="03AC38D7"/>
    <w:rsid w:val="040C1AC8"/>
    <w:rsid w:val="043A33AB"/>
    <w:rsid w:val="043B0EB2"/>
    <w:rsid w:val="04622359"/>
    <w:rsid w:val="04A301B2"/>
    <w:rsid w:val="05176E02"/>
    <w:rsid w:val="0526590B"/>
    <w:rsid w:val="058B39C0"/>
    <w:rsid w:val="05C51E46"/>
    <w:rsid w:val="05D9482F"/>
    <w:rsid w:val="05DA2416"/>
    <w:rsid w:val="05E07796"/>
    <w:rsid w:val="05F704F1"/>
    <w:rsid w:val="06A967F3"/>
    <w:rsid w:val="06F21F49"/>
    <w:rsid w:val="070C147E"/>
    <w:rsid w:val="072D058B"/>
    <w:rsid w:val="074661B6"/>
    <w:rsid w:val="075600FD"/>
    <w:rsid w:val="07742EA5"/>
    <w:rsid w:val="07EC3674"/>
    <w:rsid w:val="07FF4E0D"/>
    <w:rsid w:val="08012A65"/>
    <w:rsid w:val="084670EB"/>
    <w:rsid w:val="08493D2E"/>
    <w:rsid w:val="09F309EF"/>
    <w:rsid w:val="09FB4B46"/>
    <w:rsid w:val="09FF44D2"/>
    <w:rsid w:val="0A2507D7"/>
    <w:rsid w:val="0A413B6B"/>
    <w:rsid w:val="0AB75DAA"/>
    <w:rsid w:val="0AD2574D"/>
    <w:rsid w:val="0B31787A"/>
    <w:rsid w:val="0BFA7124"/>
    <w:rsid w:val="0BFB36EE"/>
    <w:rsid w:val="0C083FBC"/>
    <w:rsid w:val="0C380D29"/>
    <w:rsid w:val="0C5524DA"/>
    <w:rsid w:val="0CA53169"/>
    <w:rsid w:val="0CAC7CDC"/>
    <w:rsid w:val="0CF55B0E"/>
    <w:rsid w:val="0D7602B8"/>
    <w:rsid w:val="0D763D68"/>
    <w:rsid w:val="0D9553DC"/>
    <w:rsid w:val="0DFA16E3"/>
    <w:rsid w:val="0E3126CE"/>
    <w:rsid w:val="0E6F401F"/>
    <w:rsid w:val="0E7123CF"/>
    <w:rsid w:val="0ED37092"/>
    <w:rsid w:val="0EDB3015"/>
    <w:rsid w:val="0EF655BB"/>
    <w:rsid w:val="0EFD42AE"/>
    <w:rsid w:val="0F201689"/>
    <w:rsid w:val="0F5A261C"/>
    <w:rsid w:val="0F76007B"/>
    <w:rsid w:val="0FCE073A"/>
    <w:rsid w:val="0FE70452"/>
    <w:rsid w:val="102C3500"/>
    <w:rsid w:val="104E30A0"/>
    <w:rsid w:val="10663D19"/>
    <w:rsid w:val="10787458"/>
    <w:rsid w:val="10EE7B96"/>
    <w:rsid w:val="11403BAB"/>
    <w:rsid w:val="114F5D51"/>
    <w:rsid w:val="115537BC"/>
    <w:rsid w:val="115D7F6D"/>
    <w:rsid w:val="11791615"/>
    <w:rsid w:val="118B7433"/>
    <w:rsid w:val="11CB257E"/>
    <w:rsid w:val="12285279"/>
    <w:rsid w:val="1292127B"/>
    <w:rsid w:val="131D1B36"/>
    <w:rsid w:val="132C0FC2"/>
    <w:rsid w:val="133556EC"/>
    <w:rsid w:val="134B7B09"/>
    <w:rsid w:val="13645E88"/>
    <w:rsid w:val="136950C7"/>
    <w:rsid w:val="136958D5"/>
    <w:rsid w:val="138633AD"/>
    <w:rsid w:val="138C28CE"/>
    <w:rsid w:val="13BC3830"/>
    <w:rsid w:val="13DC1FB6"/>
    <w:rsid w:val="14013D16"/>
    <w:rsid w:val="142C022D"/>
    <w:rsid w:val="143764BE"/>
    <w:rsid w:val="143D2101"/>
    <w:rsid w:val="14BE200C"/>
    <w:rsid w:val="14DF131D"/>
    <w:rsid w:val="15354FB2"/>
    <w:rsid w:val="15402C52"/>
    <w:rsid w:val="15453B8B"/>
    <w:rsid w:val="15634620"/>
    <w:rsid w:val="15D23E6C"/>
    <w:rsid w:val="15F46194"/>
    <w:rsid w:val="15F53E94"/>
    <w:rsid w:val="160D65F1"/>
    <w:rsid w:val="16180E0B"/>
    <w:rsid w:val="1665647D"/>
    <w:rsid w:val="16C32FBA"/>
    <w:rsid w:val="16F70EB5"/>
    <w:rsid w:val="171F748D"/>
    <w:rsid w:val="17AD1CCF"/>
    <w:rsid w:val="17F01916"/>
    <w:rsid w:val="18136B7A"/>
    <w:rsid w:val="181C5468"/>
    <w:rsid w:val="18580CD5"/>
    <w:rsid w:val="18760C2D"/>
    <w:rsid w:val="18B22795"/>
    <w:rsid w:val="18FE739B"/>
    <w:rsid w:val="196A10D8"/>
    <w:rsid w:val="197E3AD3"/>
    <w:rsid w:val="19924EC5"/>
    <w:rsid w:val="19CB0F8F"/>
    <w:rsid w:val="1A160002"/>
    <w:rsid w:val="1A33671D"/>
    <w:rsid w:val="1A350E24"/>
    <w:rsid w:val="1A5B6AD9"/>
    <w:rsid w:val="1A77291E"/>
    <w:rsid w:val="1B361D07"/>
    <w:rsid w:val="1B666609"/>
    <w:rsid w:val="1B6F0C01"/>
    <w:rsid w:val="1B6F509A"/>
    <w:rsid w:val="1BCD6DD2"/>
    <w:rsid w:val="1C2939D2"/>
    <w:rsid w:val="1C310C9F"/>
    <w:rsid w:val="1C420BDC"/>
    <w:rsid w:val="1CC529CB"/>
    <w:rsid w:val="1D080987"/>
    <w:rsid w:val="1D176262"/>
    <w:rsid w:val="1D271A54"/>
    <w:rsid w:val="1DC95446"/>
    <w:rsid w:val="1DE262BF"/>
    <w:rsid w:val="1E047866"/>
    <w:rsid w:val="1E166D44"/>
    <w:rsid w:val="1E3666C4"/>
    <w:rsid w:val="1EBE6BA8"/>
    <w:rsid w:val="1F02343B"/>
    <w:rsid w:val="1F303BD9"/>
    <w:rsid w:val="1F454453"/>
    <w:rsid w:val="1FBF5A85"/>
    <w:rsid w:val="1FEA216C"/>
    <w:rsid w:val="1FF616DC"/>
    <w:rsid w:val="20111B11"/>
    <w:rsid w:val="20136E0B"/>
    <w:rsid w:val="202D4860"/>
    <w:rsid w:val="20644971"/>
    <w:rsid w:val="207D067D"/>
    <w:rsid w:val="20885CED"/>
    <w:rsid w:val="208D59CB"/>
    <w:rsid w:val="216A1663"/>
    <w:rsid w:val="218345D4"/>
    <w:rsid w:val="21991BAE"/>
    <w:rsid w:val="21A623D8"/>
    <w:rsid w:val="21D42D7F"/>
    <w:rsid w:val="22366045"/>
    <w:rsid w:val="224F6AF7"/>
    <w:rsid w:val="229C6AC2"/>
    <w:rsid w:val="23407BFD"/>
    <w:rsid w:val="234F35D9"/>
    <w:rsid w:val="23560AC1"/>
    <w:rsid w:val="2389554B"/>
    <w:rsid w:val="23C50060"/>
    <w:rsid w:val="23D51B4F"/>
    <w:rsid w:val="23F77E55"/>
    <w:rsid w:val="241C18D4"/>
    <w:rsid w:val="24516DB8"/>
    <w:rsid w:val="247E10FA"/>
    <w:rsid w:val="24A576F2"/>
    <w:rsid w:val="24DC147F"/>
    <w:rsid w:val="24E8285E"/>
    <w:rsid w:val="24F02310"/>
    <w:rsid w:val="25221EE8"/>
    <w:rsid w:val="25430838"/>
    <w:rsid w:val="25936FEA"/>
    <w:rsid w:val="25A3260A"/>
    <w:rsid w:val="260C560A"/>
    <w:rsid w:val="266109D3"/>
    <w:rsid w:val="26942D28"/>
    <w:rsid w:val="26A6365F"/>
    <w:rsid w:val="26AE6CA8"/>
    <w:rsid w:val="27064FAB"/>
    <w:rsid w:val="27531146"/>
    <w:rsid w:val="27DE3542"/>
    <w:rsid w:val="27EC5691"/>
    <w:rsid w:val="27F9314E"/>
    <w:rsid w:val="282C4C66"/>
    <w:rsid w:val="2899026F"/>
    <w:rsid w:val="28C232E5"/>
    <w:rsid w:val="28C60233"/>
    <w:rsid w:val="28C72DDD"/>
    <w:rsid w:val="292B16C5"/>
    <w:rsid w:val="29331F9E"/>
    <w:rsid w:val="29357294"/>
    <w:rsid w:val="29C428E8"/>
    <w:rsid w:val="29E37E3A"/>
    <w:rsid w:val="2A7B04D5"/>
    <w:rsid w:val="2B2825FA"/>
    <w:rsid w:val="2B623641"/>
    <w:rsid w:val="2B8934AE"/>
    <w:rsid w:val="2B9B40AD"/>
    <w:rsid w:val="2BD54F4B"/>
    <w:rsid w:val="2C0315C8"/>
    <w:rsid w:val="2C3F712F"/>
    <w:rsid w:val="2CC3496B"/>
    <w:rsid w:val="2D020758"/>
    <w:rsid w:val="2D2A1682"/>
    <w:rsid w:val="2D7440F8"/>
    <w:rsid w:val="2DC53BCE"/>
    <w:rsid w:val="2E080BA3"/>
    <w:rsid w:val="2E2D028A"/>
    <w:rsid w:val="2E50774E"/>
    <w:rsid w:val="2E7806D6"/>
    <w:rsid w:val="2F3D48BF"/>
    <w:rsid w:val="2F8530AA"/>
    <w:rsid w:val="2F8F28CB"/>
    <w:rsid w:val="2FED2588"/>
    <w:rsid w:val="301B0302"/>
    <w:rsid w:val="30712D1A"/>
    <w:rsid w:val="30AA4B1F"/>
    <w:rsid w:val="30CF566D"/>
    <w:rsid w:val="30D21AB8"/>
    <w:rsid w:val="30EA7AA8"/>
    <w:rsid w:val="312508B7"/>
    <w:rsid w:val="31654F0D"/>
    <w:rsid w:val="31763724"/>
    <w:rsid w:val="31DF7322"/>
    <w:rsid w:val="320A6BD3"/>
    <w:rsid w:val="321C54B1"/>
    <w:rsid w:val="32371F15"/>
    <w:rsid w:val="326E61E9"/>
    <w:rsid w:val="3279683E"/>
    <w:rsid w:val="32830682"/>
    <w:rsid w:val="3295171C"/>
    <w:rsid w:val="32993E0C"/>
    <w:rsid w:val="333D2276"/>
    <w:rsid w:val="334C4C65"/>
    <w:rsid w:val="34114AD4"/>
    <w:rsid w:val="34337AC4"/>
    <w:rsid w:val="34744D8B"/>
    <w:rsid w:val="347453B4"/>
    <w:rsid w:val="348C08EE"/>
    <w:rsid w:val="34B7371E"/>
    <w:rsid w:val="34C5219B"/>
    <w:rsid w:val="34CE0FFE"/>
    <w:rsid w:val="35543095"/>
    <w:rsid w:val="35AC14F2"/>
    <w:rsid w:val="35C90FC5"/>
    <w:rsid w:val="35ED2D80"/>
    <w:rsid w:val="35FA6F34"/>
    <w:rsid w:val="3613491A"/>
    <w:rsid w:val="363D3C41"/>
    <w:rsid w:val="36402109"/>
    <w:rsid w:val="36745C27"/>
    <w:rsid w:val="36C62130"/>
    <w:rsid w:val="36FE36F3"/>
    <w:rsid w:val="37265559"/>
    <w:rsid w:val="374650D5"/>
    <w:rsid w:val="37A90E37"/>
    <w:rsid w:val="37AD3D02"/>
    <w:rsid w:val="37B10462"/>
    <w:rsid w:val="37FC566B"/>
    <w:rsid w:val="388B78B5"/>
    <w:rsid w:val="38913777"/>
    <w:rsid w:val="38960738"/>
    <w:rsid w:val="38C8030F"/>
    <w:rsid w:val="38C904AC"/>
    <w:rsid w:val="38CD55B0"/>
    <w:rsid w:val="396F5AD6"/>
    <w:rsid w:val="39B55D9D"/>
    <w:rsid w:val="39B70AF8"/>
    <w:rsid w:val="39B8247E"/>
    <w:rsid w:val="3A17075F"/>
    <w:rsid w:val="3A70072A"/>
    <w:rsid w:val="3AA9701C"/>
    <w:rsid w:val="3ABA4C29"/>
    <w:rsid w:val="3AC71CE7"/>
    <w:rsid w:val="3B1F7602"/>
    <w:rsid w:val="3B2E5899"/>
    <w:rsid w:val="3B416C4A"/>
    <w:rsid w:val="3C384967"/>
    <w:rsid w:val="3C4418A9"/>
    <w:rsid w:val="3C5C74C0"/>
    <w:rsid w:val="3CAB65C1"/>
    <w:rsid w:val="3CB437B3"/>
    <w:rsid w:val="3D1C1FD4"/>
    <w:rsid w:val="3D1F405E"/>
    <w:rsid w:val="3D4773CE"/>
    <w:rsid w:val="3D5D425B"/>
    <w:rsid w:val="3D6442CA"/>
    <w:rsid w:val="3D927240"/>
    <w:rsid w:val="3E1942C9"/>
    <w:rsid w:val="3EDD32C7"/>
    <w:rsid w:val="3F0E09F4"/>
    <w:rsid w:val="3F281F5F"/>
    <w:rsid w:val="3F430D16"/>
    <w:rsid w:val="3F9048CE"/>
    <w:rsid w:val="3FD46E40"/>
    <w:rsid w:val="3FFA7205"/>
    <w:rsid w:val="404B3D6E"/>
    <w:rsid w:val="40530A1F"/>
    <w:rsid w:val="40640ABA"/>
    <w:rsid w:val="40780E2C"/>
    <w:rsid w:val="40D5235C"/>
    <w:rsid w:val="41122A4A"/>
    <w:rsid w:val="41D67795"/>
    <w:rsid w:val="427927BB"/>
    <w:rsid w:val="42847727"/>
    <w:rsid w:val="42896881"/>
    <w:rsid w:val="42E11C21"/>
    <w:rsid w:val="42E162B5"/>
    <w:rsid w:val="42E83988"/>
    <w:rsid w:val="445826E4"/>
    <w:rsid w:val="445C6BAC"/>
    <w:rsid w:val="450C52E2"/>
    <w:rsid w:val="458D2F29"/>
    <w:rsid w:val="45926C9C"/>
    <w:rsid w:val="45A73531"/>
    <w:rsid w:val="45AC0F39"/>
    <w:rsid w:val="45C44D78"/>
    <w:rsid w:val="45CC26FB"/>
    <w:rsid w:val="45E06E35"/>
    <w:rsid w:val="45EF17F9"/>
    <w:rsid w:val="460B4F7D"/>
    <w:rsid w:val="46372BD8"/>
    <w:rsid w:val="46406304"/>
    <w:rsid w:val="464703BD"/>
    <w:rsid w:val="46584C1D"/>
    <w:rsid w:val="46841EB6"/>
    <w:rsid w:val="469A6788"/>
    <w:rsid w:val="469E6D4F"/>
    <w:rsid w:val="47086228"/>
    <w:rsid w:val="470D3114"/>
    <w:rsid w:val="47517010"/>
    <w:rsid w:val="47A647FC"/>
    <w:rsid w:val="47E02965"/>
    <w:rsid w:val="47EB24CC"/>
    <w:rsid w:val="481D7BA2"/>
    <w:rsid w:val="487B529C"/>
    <w:rsid w:val="488672B3"/>
    <w:rsid w:val="48C426E8"/>
    <w:rsid w:val="48C53AE7"/>
    <w:rsid w:val="4A2038CA"/>
    <w:rsid w:val="4A273284"/>
    <w:rsid w:val="4A300DC7"/>
    <w:rsid w:val="4A5D3EF1"/>
    <w:rsid w:val="4A601A91"/>
    <w:rsid w:val="4AA56872"/>
    <w:rsid w:val="4AC71263"/>
    <w:rsid w:val="4AD374CA"/>
    <w:rsid w:val="4AE07A05"/>
    <w:rsid w:val="4AEB78A5"/>
    <w:rsid w:val="4AF35FF3"/>
    <w:rsid w:val="4BB859D8"/>
    <w:rsid w:val="4C1527F7"/>
    <w:rsid w:val="4CC773B6"/>
    <w:rsid w:val="4CF80CEF"/>
    <w:rsid w:val="4D4B3181"/>
    <w:rsid w:val="4D77007F"/>
    <w:rsid w:val="4D8F5DFA"/>
    <w:rsid w:val="4DB135CA"/>
    <w:rsid w:val="4EC340F7"/>
    <w:rsid w:val="4EC620EC"/>
    <w:rsid w:val="4F0973FC"/>
    <w:rsid w:val="4F0F7A23"/>
    <w:rsid w:val="4F1D4110"/>
    <w:rsid w:val="4F8124B8"/>
    <w:rsid w:val="50590AA2"/>
    <w:rsid w:val="509E74E0"/>
    <w:rsid w:val="50C45B76"/>
    <w:rsid w:val="50C94187"/>
    <w:rsid w:val="51495263"/>
    <w:rsid w:val="515A291F"/>
    <w:rsid w:val="51607B6D"/>
    <w:rsid w:val="5188749E"/>
    <w:rsid w:val="51D5389C"/>
    <w:rsid w:val="51F00A34"/>
    <w:rsid w:val="521A7804"/>
    <w:rsid w:val="5228194F"/>
    <w:rsid w:val="52701540"/>
    <w:rsid w:val="52747CCF"/>
    <w:rsid w:val="527750A0"/>
    <w:rsid w:val="52A81C3D"/>
    <w:rsid w:val="52AC6694"/>
    <w:rsid w:val="52C03823"/>
    <w:rsid w:val="53C021AA"/>
    <w:rsid w:val="53F5341B"/>
    <w:rsid w:val="542B46B0"/>
    <w:rsid w:val="546539C2"/>
    <w:rsid w:val="54C9519C"/>
    <w:rsid w:val="55031794"/>
    <w:rsid w:val="55302E33"/>
    <w:rsid w:val="55642A3C"/>
    <w:rsid w:val="55661F0A"/>
    <w:rsid w:val="55903CE7"/>
    <w:rsid w:val="55B05F4A"/>
    <w:rsid w:val="55BC0649"/>
    <w:rsid w:val="55C84D1F"/>
    <w:rsid w:val="55F6236E"/>
    <w:rsid w:val="560E324E"/>
    <w:rsid w:val="562000D1"/>
    <w:rsid w:val="564B0FD6"/>
    <w:rsid w:val="565116A4"/>
    <w:rsid w:val="565B7344"/>
    <w:rsid w:val="566A46AB"/>
    <w:rsid w:val="56C15F03"/>
    <w:rsid w:val="56D94782"/>
    <w:rsid w:val="57481751"/>
    <w:rsid w:val="57544F8D"/>
    <w:rsid w:val="57B3516C"/>
    <w:rsid w:val="57CC683E"/>
    <w:rsid w:val="580469B3"/>
    <w:rsid w:val="58472116"/>
    <w:rsid w:val="589A5A37"/>
    <w:rsid w:val="58B8634B"/>
    <w:rsid w:val="58BE3772"/>
    <w:rsid w:val="591244AD"/>
    <w:rsid w:val="595200EA"/>
    <w:rsid w:val="59535617"/>
    <w:rsid w:val="595A602E"/>
    <w:rsid w:val="595E1FBD"/>
    <w:rsid w:val="59B1408F"/>
    <w:rsid w:val="5A3B2394"/>
    <w:rsid w:val="5A7014FC"/>
    <w:rsid w:val="5AE33FA6"/>
    <w:rsid w:val="5B0E3B23"/>
    <w:rsid w:val="5B1C1C34"/>
    <w:rsid w:val="5B2363DB"/>
    <w:rsid w:val="5B4C1CB1"/>
    <w:rsid w:val="5B832185"/>
    <w:rsid w:val="5BA93DD6"/>
    <w:rsid w:val="5BDE751B"/>
    <w:rsid w:val="5BF36D97"/>
    <w:rsid w:val="5C105D4F"/>
    <w:rsid w:val="5C537D97"/>
    <w:rsid w:val="5C89180E"/>
    <w:rsid w:val="5CC35358"/>
    <w:rsid w:val="5CD36B79"/>
    <w:rsid w:val="5CF52D6E"/>
    <w:rsid w:val="5CF92DC1"/>
    <w:rsid w:val="5DB64B4F"/>
    <w:rsid w:val="5DCB00FD"/>
    <w:rsid w:val="5E7C271D"/>
    <w:rsid w:val="5E7F5F4E"/>
    <w:rsid w:val="5E8633D0"/>
    <w:rsid w:val="5E997766"/>
    <w:rsid w:val="5EC20E78"/>
    <w:rsid w:val="5ED95DC2"/>
    <w:rsid w:val="5F21609C"/>
    <w:rsid w:val="5F316516"/>
    <w:rsid w:val="5F5A7800"/>
    <w:rsid w:val="5F5E7DAA"/>
    <w:rsid w:val="5F621C65"/>
    <w:rsid w:val="5F6540D2"/>
    <w:rsid w:val="5FC61308"/>
    <w:rsid w:val="5FE401AF"/>
    <w:rsid w:val="60512572"/>
    <w:rsid w:val="609A5FC3"/>
    <w:rsid w:val="60BE26CF"/>
    <w:rsid w:val="61176811"/>
    <w:rsid w:val="615B3BB5"/>
    <w:rsid w:val="618B75DB"/>
    <w:rsid w:val="6194008A"/>
    <w:rsid w:val="624819BB"/>
    <w:rsid w:val="6290529B"/>
    <w:rsid w:val="6291189C"/>
    <w:rsid w:val="63104597"/>
    <w:rsid w:val="6313422E"/>
    <w:rsid w:val="63A21A7D"/>
    <w:rsid w:val="63D10138"/>
    <w:rsid w:val="64AC3CBB"/>
    <w:rsid w:val="64C115E6"/>
    <w:rsid w:val="64F16511"/>
    <w:rsid w:val="64FD7CD7"/>
    <w:rsid w:val="6519144F"/>
    <w:rsid w:val="659D1129"/>
    <w:rsid w:val="65AB66C0"/>
    <w:rsid w:val="662E6F13"/>
    <w:rsid w:val="66D80898"/>
    <w:rsid w:val="67100F28"/>
    <w:rsid w:val="67256946"/>
    <w:rsid w:val="678A373B"/>
    <w:rsid w:val="67D55C76"/>
    <w:rsid w:val="6815361F"/>
    <w:rsid w:val="68AD3897"/>
    <w:rsid w:val="68C61758"/>
    <w:rsid w:val="68C64E10"/>
    <w:rsid w:val="68FA613D"/>
    <w:rsid w:val="6A2658DB"/>
    <w:rsid w:val="6A554658"/>
    <w:rsid w:val="6A971908"/>
    <w:rsid w:val="6AA15844"/>
    <w:rsid w:val="6AAC2B6E"/>
    <w:rsid w:val="6AB67410"/>
    <w:rsid w:val="6AD1334F"/>
    <w:rsid w:val="6B1E5F03"/>
    <w:rsid w:val="6B3C4448"/>
    <w:rsid w:val="6B460442"/>
    <w:rsid w:val="6B9F4FA6"/>
    <w:rsid w:val="6BCC7295"/>
    <w:rsid w:val="6C811019"/>
    <w:rsid w:val="6CA660C0"/>
    <w:rsid w:val="6CDC61A5"/>
    <w:rsid w:val="6CDF30F3"/>
    <w:rsid w:val="6D0266ED"/>
    <w:rsid w:val="6D9B3DAF"/>
    <w:rsid w:val="6DAC7DFA"/>
    <w:rsid w:val="6DE81B0C"/>
    <w:rsid w:val="6E0F4F8D"/>
    <w:rsid w:val="6E3B16E0"/>
    <w:rsid w:val="6E5A74AB"/>
    <w:rsid w:val="6E787321"/>
    <w:rsid w:val="6EBA6E04"/>
    <w:rsid w:val="6ECB59ED"/>
    <w:rsid w:val="6EDB2D79"/>
    <w:rsid w:val="6EEA41E9"/>
    <w:rsid w:val="6F561656"/>
    <w:rsid w:val="6F693E8F"/>
    <w:rsid w:val="6F71097A"/>
    <w:rsid w:val="6F9B6D3E"/>
    <w:rsid w:val="6FAA43A8"/>
    <w:rsid w:val="6FB31A21"/>
    <w:rsid w:val="6FD27468"/>
    <w:rsid w:val="7053007F"/>
    <w:rsid w:val="70950698"/>
    <w:rsid w:val="71405B25"/>
    <w:rsid w:val="71450D2B"/>
    <w:rsid w:val="714F2E4F"/>
    <w:rsid w:val="71917A83"/>
    <w:rsid w:val="71AE7A7A"/>
    <w:rsid w:val="72730276"/>
    <w:rsid w:val="72A8172B"/>
    <w:rsid w:val="72C84AB1"/>
    <w:rsid w:val="72D614AD"/>
    <w:rsid w:val="73202898"/>
    <w:rsid w:val="732910BB"/>
    <w:rsid w:val="733B7C1F"/>
    <w:rsid w:val="73480776"/>
    <w:rsid w:val="7366709D"/>
    <w:rsid w:val="73C52B24"/>
    <w:rsid w:val="73D746DD"/>
    <w:rsid w:val="73EF85AC"/>
    <w:rsid w:val="742C06BE"/>
    <w:rsid w:val="746714EA"/>
    <w:rsid w:val="74712031"/>
    <w:rsid w:val="74BD2A04"/>
    <w:rsid w:val="74C258A6"/>
    <w:rsid w:val="74D70F58"/>
    <w:rsid w:val="7519578A"/>
    <w:rsid w:val="75491873"/>
    <w:rsid w:val="757A767B"/>
    <w:rsid w:val="76356CF6"/>
    <w:rsid w:val="76395ECA"/>
    <w:rsid w:val="76462A29"/>
    <w:rsid w:val="76625AC5"/>
    <w:rsid w:val="767E49CF"/>
    <w:rsid w:val="76B9505B"/>
    <w:rsid w:val="76BA002B"/>
    <w:rsid w:val="76FC1DB2"/>
    <w:rsid w:val="77E51FBC"/>
    <w:rsid w:val="78001F67"/>
    <w:rsid w:val="78F62333"/>
    <w:rsid w:val="792D64F4"/>
    <w:rsid w:val="7A8A4FBE"/>
    <w:rsid w:val="7ADA51E7"/>
    <w:rsid w:val="7AE34A85"/>
    <w:rsid w:val="7B05641A"/>
    <w:rsid w:val="7B2C59CD"/>
    <w:rsid w:val="7B2E1644"/>
    <w:rsid w:val="7B554BFB"/>
    <w:rsid w:val="7B8B645F"/>
    <w:rsid w:val="7B9461DD"/>
    <w:rsid w:val="7BA6003E"/>
    <w:rsid w:val="7BA93249"/>
    <w:rsid w:val="7C000903"/>
    <w:rsid w:val="7C1A3243"/>
    <w:rsid w:val="7C1E0F6E"/>
    <w:rsid w:val="7D622391"/>
    <w:rsid w:val="7D712DDF"/>
    <w:rsid w:val="7D9D4D49"/>
    <w:rsid w:val="7DBB4A65"/>
    <w:rsid w:val="7DDC7906"/>
    <w:rsid w:val="7E1F6179"/>
    <w:rsid w:val="7E246FB4"/>
    <w:rsid w:val="7E377DD6"/>
    <w:rsid w:val="7E5E3E05"/>
    <w:rsid w:val="7E9D7BDF"/>
    <w:rsid w:val="7EA44257"/>
    <w:rsid w:val="7EAB7C47"/>
    <w:rsid w:val="7EDF7049"/>
    <w:rsid w:val="7EEE54EF"/>
    <w:rsid w:val="7F2A07E9"/>
    <w:rsid w:val="7F4207DF"/>
    <w:rsid w:val="7FAF9258"/>
    <w:rsid w:val="B4FE76EB"/>
    <w:rsid w:val="F7DD5644"/>
    <w:rsid w:val="FFDBCFC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uiPriority="99" w:name="HTML Keyboard"/>
    <w:lsdException w:qFormat="1" w:unhideWhenUsed="0" w:uiPriority="99" w:semiHidden="0"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qFormat/>
    <w:uiPriority w:val="99"/>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600" w:lineRule="exact"/>
    </w:pPr>
    <w:rPr>
      <w:rFonts w:ascii="Times New Roman" w:hAnsi="Times New Roman" w:eastAsia="仿宋_GB2312"/>
      <w:sz w:val="32"/>
      <w:szCs w:val="24"/>
    </w:rPr>
  </w:style>
  <w:style w:type="paragraph" w:styleId="3">
    <w:name w:val="toc 7"/>
    <w:basedOn w:val="1"/>
    <w:next w:val="1"/>
    <w:unhideWhenUsed/>
    <w:qFormat/>
    <w:uiPriority w:val="39"/>
    <w:pPr>
      <w:ind w:firstLine="643"/>
    </w:pPr>
    <w:rPr>
      <w:rFonts w:ascii="黑体" w:hAnsi="黑体" w:eastAsia="黑体" w:cs="仿宋_GB2312"/>
      <w:b/>
      <w:sz w:val="32"/>
      <w:szCs w:val="32"/>
    </w:rPr>
  </w:style>
  <w:style w:type="paragraph" w:styleId="4">
    <w:name w:val="Normal Indent"/>
    <w:basedOn w:val="1"/>
    <w:next w:val="5"/>
    <w:qFormat/>
    <w:uiPriority w:val="99"/>
    <w:pPr>
      <w:ind w:firstLine="200" w:firstLineChars="200"/>
    </w:pPr>
  </w:style>
  <w:style w:type="paragraph" w:styleId="5">
    <w:name w:val="index 6"/>
    <w:basedOn w:val="1"/>
    <w:next w:val="1"/>
    <w:qFormat/>
    <w:uiPriority w:val="0"/>
    <w:pPr>
      <w:ind w:left="1000" w:leftChars="1000"/>
    </w:pPr>
  </w:style>
  <w:style w:type="paragraph" w:styleId="6">
    <w:name w:val="Body Text 3"/>
    <w:basedOn w:val="1"/>
    <w:qFormat/>
    <w:uiPriority w:val="0"/>
    <w:pPr>
      <w:spacing w:after="120"/>
    </w:pPr>
    <w:rPr>
      <w:sz w:val="16"/>
      <w:szCs w:val="16"/>
    </w:rPr>
  </w:style>
  <w:style w:type="paragraph" w:styleId="7">
    <w:name w:val="Block Text"/>
    <w:basedOn w:val="1"/>
    <w:qFormat/>
    <w:uiPriority w:val="0"/>
    <w:pPr>
      <w:widowControl/>
      <w:adjustRightInd w:val="0"/>
      <w:snapToGrid w:val="0"/>
      <w:spacing w:after="200"/>
      <w:jc w:val="left"/>
    </w:pPr>
    <w:rPr>
      <w:rFonts w:ascii="Tahoma" w:hAnsi="Tahoma" w:eastAsia="微软雅黑" w:cs="宋体"/>
      <w:kern w:val="0"/>
      <w:sz w:val="22"/>
    </w:rPr>
  </w:style>
  <w:style w:type="paragraph" w:styleId="8">
    <w:name w:val="footer"/>
    <w:basedOn w:val="1"/>
    <w:link w:val="23"/>
    <w:qFormat/>
    <w:uiPriority w:val="99"/>
    <w:pPr>
      <w:tabs>
        <w:tab w:val="center" w:pos="4153"/>
        <w:tab w:val="right" w:pos="8306"/>
      </w:tabs>
      <w:snapToGrid w:val="0"/>
      <w:jc w:val="left"/>
    </w:pPr>
    <w:rPr>
      <w:sz w:val="18"/>
    </w:rPr>
  </w:style>
  <w:style w:type="paragraph" w:styleId="9">
    <w:name w:val="header"/>
    <w:basedOn w:val="1"/>
    <w:link w:val="2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HTML Preformatted"/>
    <w:basedOn w:val="1"/>
    <w:link w:val="3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4">
    <w:name w:val="FollowedHyperlink"/>
    <w:basedOn w:val="13"/>
    <w:qFormat/>
    <w:uiPriority w:val="99"/>
    <w:rPr>
      <w:rFonts w:cs="Times New Roman"/>
      <w:color w:val="000000"/>
      <w:u w:val="none"/>
    </w:rPr>
  </w:style>
  <w:style w:type="character" w:styleId="15">
    <w:name w:val="Emphasis"/>
    <w:basedOn w:val="13"/>
    <w:qFormat/>
    <w:uiPriority w:val="99"/>
    <w:rPr>
      <w:rFonts w:cs="Times New Roman"/>
    </w:rPr>
  </w:style>
  <w:style w:type="character" w:styleId="16">
    <w:name w:val="HTML Definition"/>
    <w:basedOn w:val="13"/>
    <w:qFormat/>
    <w:uiPriority w:val="99"/>
    <w:rPr>
      <w:rFonts w:cs="Times New Roman"/>
    </w:rPr>
  </w:style>
  <w:style w:type="character" w:styleId="17">
    <w:name w:val="HTML Acronym"/>
    <w:basedOn w:val="13"/>
    <w:qFormat/>
    <w:uiPriority w:val="99"/>
    <w:rPr>
      <w:rFonts w:cs="Times New Roman"/>
    </w:rPr>
  </w:style>
  <w:style w:type="character" w:styleId="18">
    <w:name w:val="HTML Variable"/>
    <w:basedOn w:val="13"/>
    <w:qFormat/>
    <w:uiPriority w:val="99"/>
    <w:rPr>
      <w:rFonts w:cs="Times New Roman"/>
    </w:rPr>
  </w:style>
  <w:style w:type="character" w:styleId="19">
    <w:name w:val="Hyperlink"/>
    <w:basedOn w:val="13"/>
    <w:qFormat/>
    <w:uiPriority w:val="99"/>
    <w:rPr>
      <w:rFonts w:cs="Times New Roman"/>
      <w:color w:val="000000"/>
      <w:u w:val="none"/>
    </w:rPr>
  </w:style>
  <w:style w:type="character" w:styleId="20">
    <w:name w:val="HTML Code"/>
    <w:basedOn w:val="13"/>
    <w:qFormat/>
    <w:uiPriority w:val="99"/>
    <w:rPr>
      <w:rFonts w:ascii="Courier New" w:hAnsi="Courier New" w:cs="Times New Roman"/>
      <w:color w:val="015293"/>
      <w:sz w:val="20"/>
      <w:u w:val="none"/>
    </w:rPr>
  </w:style>
  <w:style w:type="character" w:styleId="21">
    <w:name w:val="HTML Cite"/>
    <w:basedOn w:val="13"/>
    <w:qFormat/>
    <w:uiPriority w:val="99"/>
    <w:rPr>
      <w:rFonts w:cs="Times New Roman"/>
    </w:rPr>
  </w:style>
  <w:style w:type="paragraph" w:customStyle="1" w:styleId="22">
    <w:name w:val="正文缩进1"/>
    <w:basedOn w:val="1"/>
    <w:qFormat/>
    <w:uiPriority w:val="0"/>
    <w:pPr>
      <w:spacing w:line="660" w:lineRule="exact"/>
      <w:ind w:firstLine="720" w:firstLineChars="200"/>
    </w:pPr>
    <w:rPr>
      <w:rFonts w:eastAsia="楷体_GB2312"/>
      <w:sz w:val="36"/>
    </w:rPr>
  </w:style>
  <w:style w:type="character" w:customStyle="1" w:styleId="23">
    <w:name w:val="Footer Char"/>
    <w:basedOn w:val="13"/>
    <w:link w:val="8"/>
    <w:semiHidden/>
    <w:qFormat/>
    <w:uiPriority w:val="99"/>
    <w:rPr>
      <w:sz w:val="18"/>
      <w:szCs w:val="18"/>
    </w:rPr>
  </w:style>
  <w:style w:type="character" w:customStyle="1" w:styleId="24">
    <w:name w:val="Header Char"/>
    <w:basedOn w:val="13"/>
    <w:link w:val="9"/>
    <w:semiHidden/>
    <w:qFormat/>
    <w:uiPriority w:val="99"/>
    <w:rPr>
      <w:sz w:val="18"/>
      <w:szCs w:val="18"/>
    </w:rPr>
  </w:style>
  <w:style w:type="character" w:customStyle="1" w:styleId="25">
    <w:name w:val="gwds_nopic"/>
    <w:basedOn w:val="13"/>
    <w:qFormat/>
    <w:uiPriority w:val="99"/>
    <w:rPr>
      <w:rFonts w:cs="Times New Roman"/>
    </w:rPr>
  </w:style>
  <w:style w:type="character" w:customStyle="1" w:styleId="26">
    <w:name w:val="gwds_nopic1"/>
    <w:basedOn w:val="13"/>
    <w:qFormat/>
    <w:uiPriority w:val="99"/>
    <w:rPr>
      <w:rFonts w:cs="Times New Roman"/>
    </w:rPr>
  </w:style>
  <w:style w:type="character" w:customStyle="1" w:styleId="27">
    <w:name w:val="gwds_nopic2"/>
    <w:basedOn w:val="13"/>
    <w:qFormat/>
    <w:uiPriority w:val="99"/>
    <w:rPr>
      <w:rFonts w:cs="Times New Roman"/>
    </w:rPr>
  </w:style>
  <w:style w:type="character" w:customStyle="1" w:styleId="28">
    <w:name w:val="bggrey"/>
    <w:basedOn w:val="13"/>
    <w:qFormat/>
    <w:uiPriority w:val="99"/>
    <w:rPr>
      <w:rFonts w:cs="Times New Roman"/>
      <w:shd w:val="clear" w:color="auto" w:fill="E7E7E7"/>
    </w:rPr>
  </w:style>
  <w:style w:type="paragraph" w:customStyle="1" w:styleId="29">
    <w:name w:val="pa"/>
    <w:basedOn w:val="1"/>
    <w:qFormat/>
    <w:uiPriority w:val="99"/>
    <w:pPr>
      <w:widowControl/>
      <w:spacing w:before="100" w:beforeAutospacing="1" w:after="100" w:afterAutospacing="1"/>
      <w:jc w:val="left"/>
    </w:pPr>
    <w:rPr>
      <w:rFonts w:ascii="宋体" w:hAnsi="宋体"/>
      <w:sz w:val="24"/>
      <w:szCs w:val="20"/>
    </w:rPr>
  </w:style>
  <w:style w:type="character" w:customStyle="1" w:styleId="30">
    <w:name w:val="HTML Preformatted Char"/>
    <w:basedOn w:val="13"/>
    <w:link w:val="10"/>
    <w:semiHidden/>
    <w:qFormat/>
    <w:uiPriority w:val="99"/>
    <w:rPr>
      <w:rFonts w:ascii="Courier New" w:hAnsi="Courier New" w:cs="Courier New"/>
      <w:sz w:val="20"/>
      <w:szCs w:val="20"/>
    </w:rPr>
  </w:style>
  <w:style w:type="paragraph" w:styleId="31">
    <w:name w:val="List Paragraph"/>
    <w:basedOn w:val="1"/>
    <w:qFormat/>
    <w:uiPriority w:val="34"/>
    <w:pPr>
      <w:ind w:firstLine="420" w:firstLineChars="200"/>
    </w:pPr>
    <w:rPr>
      <w:rFonts w:ascii="Calibri" w:hAnsi="Calibri" w:eastAsia="宋体" w:cs="Times New Roman"/>
      <w:sz w:val="32"/>
      <w:szCs w:val="32"/>
    </w:rPr>
  </w:style>
  <w:style w:type="character" w:customStyle="1" w:styleId="32">
    <w:name w:val="NormalCharacter"/>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32</Pages>
  <Words>4730</Words>
  <Characters>5644</Characters>
  <Lines>1</Lines>
  <Paragraphs>1</Paragraphs>
  <TotalTime>13</TotalTime>
  <ScaleCrop>false</ScaleCrop>
  <LinksUpToDate>false</LinksUpToDate>
  <CharactersWithSpaces>6706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xinchuang2021</cp:lastModifiedBy>
  <cp:lastPrinted>2026-02-26T11:09:00Z</cp:lastPrinted>
  <dcterms:modified xsi:type="dcterms:W3CDTF">2026-03-20T10:32:12Z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AF9499C147EE403488F2B6D8548D2A48_13</vt:lpwstr>
  </property>
  <property fmtid="{D5CDD505-2E9C-101B-9397-08002B2CF9AE}" pid="4" name="KSOTemplateDocerSaveRecord">
    <vt:lpwstr>eyJoZGlkIjoiMzg3NThjMWMxYTI0ZjZiODNmM2RkMzQ3MWEwYmNmZmEiLCJ1c2VySWQiOiIxMjk2MTc5NTk5In0=</vt:lpwstr>
  </property>
</Properties>
</file>