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2026年省级常态化帮扶资金明细表</w:t>
      </w:r>
    </w:p>
    <w:p>
      <w:pPr>
        <w:jc w:val="right"/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>单位：万元</w:t>
      </w:r>
      <w:bookmarkStart w:id="0" w:name="_GoBack"/>
      <w:bookmarkEnd w:id="0"/>
    </w:p>
    <w:tbl>
      <w:tblPr>
        <w:tblStyle w:val="4"/>
        <w:tblW w:w="14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2712"/>
        <w:gridCol w:w="3340"/>
        <w:gridCol w:w="2681"/>
        <w:gridCol w:w="1541"/>
        <w:gridCol w:w="3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单位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功能科目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经济科目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金额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11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农业农村局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793.1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农村基础及产业配套设施建设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811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86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2130599其他巩固脱贫衔接乡村振兴支出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50201办公经费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250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项目管理费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住房和城乡建设局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2130599其他巩固脱贫衔接乡村振兴支出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50201办公经费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农村物业服务项目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折家坪镇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320</w:t>
            </w:r>
          </w:p>
        </w:tc>
        <w:tc>
          <w:tcPr>
            <w:tcW w:w="2257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产业发展建设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11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86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李家塔镇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210.9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产业发展建设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86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农村基础及产业配套设施建设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玉家河镇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农村基础及产业配套设施建设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下廿里铺镇便民服务中心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50799其他对企业补助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产业发展建设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2535</w:t>
            </w:r>
          </w:p>
        </w:tc>
        <w:tc>
          <w:tcPr>
            <w:tcW w:w="2257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0"/>
          <w:szCs w:val="20"/>
        </w:rPr>
      </w:pPr>
    </w:p>
    <w:sectPr>
      <w:pgSz w:w="16838" w:h="11906" w:orient="landscape"/>
      <w:pgMar w:top="952" w:right="1383" w:bottom="952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10B77CBB"/>
    <w:rsid w:val="14AF55FC"/>
    <w:rsid w:val="157E1F9A"/>
    <w:rsid w:val="24835B5B"/>
    <w:rsid w:val="2CD82AE0"/>
    <w:rsid w:val="453609EC"/>
    <w:rsid w:val="50D60CA9"/>
    <w:rsid w:val="594A6647"/>
    <w:rsid w:val="5FBC56EB"/>
    <w:rsid w:val="650113FF"/>
    <w:rsid w:val="698A51F1"/>
    <w:rsid w:val="6D04036D"/>
    <w:rsid w:val="7554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1791</Words>
  <Characters>2286</Characters>
  <Lines>0</Lines>
  <Paragraphs>0</Paragraphs>
  <TotalTime>2</TotalTime>
  <ScaleCrop>false</ScaleCrop>
  <LinksUpToDate>false</LinksUpToDate>
  <CharactersWithSpaces>2325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2026-02-13T10:41:00Z</cp:lastPrinted>
  <dcterms:modified xsi:type="dcterms:W3CDTF">2026-07-28T16:32:44Z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