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92" w:lineRule="exact"/>
        <w:ind w:firstLine="0" w:firstLineChars="0"/>
        <w:jc w:val="both"/>
        <w:textAlignment w:val="auto"/>
        <w:rPr>
          <w:rFonts w:hint="eastAsia" w:cs="宋体"/>
          <w:b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bidi="ar"/>
        </w:rPr>
        <w:t>附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 w:bidi="ar"/>
        </w:rPr>
        <w:t>清涧县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bidi="ar"/>
        </w:rPr>
        <w:t>城区国有土地基准地价表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/>
          <w:color w:val="000000"/>
        </w:rPr>
      </w:pPr>
    </w:p>
    <w:tbl>
      <w:tblPr>
        <w:tblStyle w:val="4"/>
        <w:tblW w:w="491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26"/>
        <w:gridCol w:w="1454"/>
        <w:gridCol w:w="1576"/>
        <w:gridCol w:w="2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级别</w:t>
            </w:r>
          </w:p>
        </w:tc>
        <w:tc>
          <w:tcPr>
            <w:tcW w:w="442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单位面积地价：元/平方米（万元/亩）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商业服务业用地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居住用地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工矿用地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公共管理与公共服务用地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Ⅰ级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1218（81.2）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843（56.2）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516（34.4）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696（46.4）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Ⅱ级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876（58.4）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627（41.8）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384（25.6）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519（34.6）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Ⅲ级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543（36.2）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417（27.8）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273（18.2）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345（23）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Ⅳ级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426（28.4）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327（21.8）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183（12.2）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270（18）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</w:t>
            </w:r>
          </w:p>
        </w:tc>
        <w:tc>
          <w:tcPr>
            <w:tcW w:w="4426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1.基准地价内涵：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①评估基准日：2023年12月31日；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②土地用途：商业服务业用地、居住用地、工矿用地、公共管理与公共服务用地；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③土地开发程度：商服、居住、工矿、公共管理与公共服务用地均为“六通一平”（宗地外“通电、通路、通讯、供水、排水、通气”，宗地内“场地平整”）；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④容积率：商业服务业用地1.5、居住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用地1.8、工矿用地1.0、公共管理与公共服务用地1.2；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⑤土地使用年限：商业服务业用地40年、居住用地70年、工矿用地50年、公共管理与公共服务用地50年；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⑥权利状况：完整国有土地使用权价格；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⑦价格类型：地面价格。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26" w:type="pct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2.土地级别：各用途土地级别以《清涧县城区基准地价图》为准。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2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土地用途分类：商业服务业用地含商业用地、商务金融用地、娱乐用地、其他商业服务业用地；居住用地含城镇居住用地和城镇社区服务设施用地；工矿用地含工业用地和采矿用地；公共管理与公共服务用地含机关团体用地、科研用地、文化用地、教育用地、体育用地、医疗卫生用地和社会福利用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EFA859"/>
    <w:rsid w:val="69CEE6E4"/>
    <w:rsid w:val="76FB2F31"/>
    <w:rsid w:val="B7FCBC7C"/>
    <w:rsid w:val="DCD3B345"/>
    <w:rsid w:val="DEEFA859"/>
    <w:rsid w:val="E7EEA8F4"/>
    <w:rsid w:val="F6E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仿宋" w:hAnsi="仿宋" w:eastAsia="宋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Normal (Web)"/>
    <w:basedOn w:val="1"/>
    <w:next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2025-07-17T23:35:00Z</dcterms:created>
  <dc:creator>很像猫的兔子</dc:creator>
  <cp:lastModifiedBy>很像猫的兔子</cp:lastModifiedBy>
  <dcterms:modified xsi:type="dcterms:W3CDTF">2025-07-17T16:08:05Z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