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附件</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中共清涧县委全面依法治县委员会</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2025年工作要点主要事项分工方案</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（责任单位中加黑部分为牵头单位）</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一、需研究推进的重大任务和改革举措</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1.推动各级党委(党组)理论学习中心组专题学习习近平法治思想，把领导干部应知应会党内法规和国家法律纳入学习内容。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县委依法治县办、县委宣传部、</w:t>
      </w:r>
      <w:r>
        <w:rPr>
          <w:rFonts w:hint="eastAsia" w:ascii="仿宋_GB2312" w:hAnsi="仿宋_GB2312" w:eastAsia="仿宋_GB2312" w:cs="仿宋_GB2312"/>
          <w:sz w:val="32"/>
          <w:szCs w:val="32"/>
        </w:rPr>
        <w:t>县委组织部、县司法局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2.将学习贯彻习近平法治思想纳入全县党员干部培训内容，纳入县委党校主体班次。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w:t>
      </w:r>
      <w:r>
        <w:rPr>
          <w:rFonts w:hint="eastAsia" w:ascii="仿宋_GB2312" w:hAnsi="仿宋_GB2312" w:eastAsia="仿宋_GB2312" w:cs="仿宋_GB2312"/>
          <w:sz w:val="32"/>
          <w:szCs w:val="32"/>
        </w:rPr>
        <w:t>县委组织部、县委党校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3.开展全面依法治县理论研究，征集法治政府建设、法治领域改革、涉外法治建设等理论研究课题。</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w:t>
      </w:r>
      <w:r>
        <w:rPr>
          <w:rFonts w:hint="eastAsia" w:ascii="仿宋_GB2312" w:hAnsi="仿宋_GB2312" w:eastAsia="仿宋_GB2312" w:cs="仿宋_GB2312"/>
          <w:sz w:val="32"/>
          <w:szCs w:val="32"/>
        </w:rPr>
        <w:t>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4.综合使用传统方式和新型融媒体手段，推动习近平法治思想进农村、进社区、进机关、进企业、进校园、进网络。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w:t>
      </w:r>
      <w:r>
        <w:rPr>
          <w:rFonts w:hint="eastAsia" w:ascii="仿宋_GB2312" w:hAnsi="仿宋_GB2312" w:eastAsia="仿宋_GB2312" w:cs="仿宋_GB2312"/>
          <w:sz w:val="32"/>
          <w:szCs w:val="32"/>
        </w:rPr>
        <w:t>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完善重大决策、行政规范性文件合法性审查机制，出台《清涧县重大行政决策事项目录管理办法》,健全法律顾问和公职律师实质性参与决策机制，开展全面提升行政规范性文件质量专项行动，从源头规范行政行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县司法局、</w:t>
      </w:r>
      <w:r>
        <w:rPr>
          <w:rFonts w:hint="eastAsia" w:ascii="仿宋_GB2312" w:hAnsi="仿宋_GB2312" w:eastAsia="仿宋_GB2312" w:cs="仿宋_GB2312"/>
          <w:sz w:val="32"/>
          <w:szCs w:val="32"/>
        </w:rPr>
        <w:t>县政府办</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6.加强府院、府检联动，强化司法建议</w:t>
      </w:r>
      <w:r>
        <w:rPr>
          <w:rFonts w:hint="default" w:eastAsia="仿宋_GB2312" w:cs="仿宋_GB2312"/>
          <w:sz w:val="32"/>
          <w:szCs w:val="32"/>
        </w:rPr>
        <w:t>跟踪</w:t>
      </w:r>
      <w:r>
        <w:rPr>
          <w:rFonts w:hint="eastAsia" w:ascii="仿宋_GB2312" w:hAnsi="仿宋_GB2312" w:eastAsia="仿宋_GB2312" w:cs="仿宋_GB2312"/>
          <w:sz w:val="32"/>
          <w:szCs w:val="32"/>
        </w:rPr>
        <w:t>落实工作。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县政府办、县司法局、</w:t>
      </w:r>
      <w:r>
        <w:rPr>
          <w:rFonts w:hint="eastAsia" w:ascii="仿宋_GB2312" w:hAnsi="仿宋_GB2312" w:eastAsia="仿宋_GB2312" w:cs="仿宋_GB2312"/>
          <w:sz w:val="32"/>
          <w:szCs w:val="32"/>
        </w:rPr>
        <w:t>县法院、县检察院</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7.深化提升行政执法质量三年行动，开展规范涉企执法专项行动，进一步规范涉企行政检查，坚决防止以罚代管、选择性执法等行为。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县司法局、</w:t>
      </w:r>
      <w:r>
        <w:rPr>
          <w:rFonts w:hint="eastAsia" w:ascii="仿宋_GB2312" w:hAnsi="仿宋_GB2312" w:eastAsia="仿宋_GB2312" w:cs="仿宋_GB2312"/>
          <w:sz w:val="32"/>
          <w:szCs w:val="32"/>
        </w:rPr>
        <w:t>县政府办</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8.推进行政执法规范化建设，强化与纪检监察、法治督察、行政复议贯通联动，建立执法监督企业联系点和社会监督员制度，增强监督效能。</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9.强化行政复议个案纠错和类案规范，加强“以案促治”工作，加大全过程调解力度。</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10.推动行政机关负责人出庭应诉率常态化达到100%、被诉行政机关主要负责人每年出庭应诉不少于1次、政府各部门每年组织领导干部旁听庭审活动不少于1次、行政诉讼案件发案量和败诉率“双下降”。</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w:t>
      </w:r>
      <w:r>
        <w:rPr>
          <w:rFonts w:hint="eastAsia" w:ascii="仿宋_GB2312" w:hAnsi="仿宋_GB2312" w:eastAsia="仿宋_GB2312" w:cs="仿宋_GB2312"/>
          <w:sz w:val="32"/>
          <w:szCs w:val="32"/>
        </w:rPr>
        <w:t>县法院、县司法局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11.深化落实《陕西省关于进一步推进法治政府建设的若干措施》《榆林市进一步推进法治政府建设的实施意见》,开展定期评估分析。持续推进法治政府建设“六大工程”,建立基层法治政府建设满意度监测点。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w:t>
      </w:r>
      <w:r>
        <w:rPr>
          <w:rFonts w:hint="eastAsia" w:ascii="仿宋_GB2312" w:hAnsi="仿宋_GB2312" w:eastAsia="仿宋_GB2312" w:cs="仿宋_GB2312"/>
          <w:sz w:val="32"/>
          <w:szCs w:val="32"/>
        </w:rPr>
        <w:t>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12.健全监察机关、公安机关、检察机关、审判机关、司法行政机关各司其职，监察权、侦查权、检察权、审判权、执行权相互配合、相互制约的体制机制。落实轻微犯罪记录封存制度，加强人权执法司法保障。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县委政法委、</w:t>
      </w:r>
      <w:r>
        <w:rPr>
          <w:rFonts w:hint="eastAsia" w:ascii="仿宋_GB2312" w:hAnsi="仿宋_GB2312" w:eastAsia="仿宋_GB2312" w:cs="仿宋_GB2312"/>
          <w:sz w:val="32"/>
          <w:szCs w:val="32"/>
        </w:rPr>
        <w:t>县纪委监委、县法院、县检察院、县公安局、县国安办、县司法局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13.强化与法治建设各方面的协调联动，推动行政审判与行政复议、行政争议</w:t>
      </w:r>
      <w:r>
        <w:rPr>
          <w:rFonts w:hint="default" w:eastAsia="仿宋_GB2312" w:cs="仿宋_GB2312"/>
          <w:sz w:val="32"/>
          <w:szCs w:val="32"/>
        </w:rPr>
        <w:t>诉</w:t>
      </w:r>
      <w:r>
        <w:rPr>
          <w:rFonts w:hint="eastAsia" w:ascii="仿宋_GB2312" w:hAnsi="仿宋_GB2312" w:eastAsia="仿宋_GB2312" w:cs="仿宋_GB2312"/>
          <w:sz w:val="32"/>
          <w:szCs w:val="32"/>
        </w:rPr>
        <w:t>前调解等有机衔接。落实行政案件级别管辖、集中管辖、异地管辖改革，深化推进庭审实质化改革。健全依法甄别纠正涉企冤错案件机制。持续加大执行力度，推进切实解决执行难。</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县法院、</w:t>
      </w:r>
      <w:r>
        <w:rPr>
          <w:rFonts w:hint="eastAsia" w:ascii="仿宋_GB2312" w:hAnsi="仿宋_GB2312" w:eastAsia="仿宋_GB2312" w:cs="仿宋_GB2312"/>
          <w:sz w:val="32"/>
          <w:szCs w:val="32"/>
        </w:rPr>
        <w:t>县司法局，县级有关部门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全面落实法律监督与法治督察、人大依法监督、政协民主监督衔接配合机制。持续推进知识产权、生态环境、未成年人保护等领域专门化履职，继续推动构建跨区划检察院集中管辖与区划检察院地域管辖相辅相成、一体履职的法律监督工作格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县检察院、</w:t>
      </w:r>
      <w:r>
        <w:rPr>
          <w:rFonts w:hint="eastAsia" w:ascii="仿宋_GB2312" w:hAnsi="仿宋_GB2312" w:eastAsia="仿宋_GB2312" w:cs="仿宋_GB2312"/>
          <w:sz w:val="32"/>
          <w:szCs w:val="32"/>
        </w:rPr>
        <w:t>县委依法治县办、县人大办、县政协办、县妇联、县教体局、县司法局、县市场监管局、</w:t>
      </w:r>
      <w:r>
        <w:rPr>
          <w:rFonts w:hint="default" w:eastAsia="仿宋_GB2312" w:cs="仿宋_GB2312"/>
          <w:sz w:val="32"/>
          <w:szCs w:val="32"/>
        </w:rPr>
        <w:t>市</w:t>
      </w:r>
      <w:r>
        <w:rPr>
          <w:rFonts w:hint="eastAsia" w:ascii="仿宋_GB2312" w:hAnsi="仿宋_GB2312" w:eastAsia="仿宋_GB2312" w:cs="仿宋_GB2312"/>
          <w:sz w:val="32"/>
          <w:szCs w:val="32"/>
        </w:rPr>
        <w:t>生态环境</w:t>
      </w:r>
      <w:r>
        <w:rPr>
          <w:rFonts w:hint="default" w:eastAsia="仿宋_GB2312" w:cs="仿宋_GB2312"/>
          <w:sz w:val="32"/>
          <w:szCs w:val="32"/>
        </w:rPr>
        <w:t>局</w:t>
      </w:r>
      <w:r>
        <w:rPr>
          <w:rFonts w:hint="eastAsia" w:ascii="仿宋_GB2312" w:hAnsi="仿宋_GB2312" w:eastAsia="仿宋_GB2312" w:cs="仿宋_GB2312"/>
          <w:sz w:val="32"/>
          <w:szCs w:val="32"/>
        </w:rPr>
        <w:t>清涧分局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统筹推进教育改造、社区矫正、安置帮教、纠纷化解、法治宣传工作，提升“减假暂”案件办理规范化水平，深化普法助力罪犯改造工作，落实社区矫正对象监督管理和教育帮扶措施、安置帮教对象动态管理和帮教帮扶工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16.聚焦教育、住房、医疗、物业服务等群众关切问题，聚焦促进共同富裕、缩小城乡差距、增加居民收入等民生目标，聚焦黄河等生态环境保护事业，完善法规政策体系加大执法监督力度。</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县人大常委会法制工委、县司法局、</w:t>
      </w:r>
      <w:r>
        <w:rPr>
          <w:rFonts w:hint="eastAsia" w:ascii="仿宋_GB2312" w:hAnsi="仿宋_GB2312" w:eastAsia="仿宋_GB2312" w:cs="仿宋_GB2312"/>
          <w:sz w:val="32"/>
          <w:szCs w:val="32"/>
        </w:rPr>
        <w:t>县人大常委会教科文卫工委、县人大常委会城镇建设和环资工委、县发改局、县教体局、县住建局、县卫健局、县医保局、</w:t>
      </w:r>
      <w:r>
        <w:rPr>
          <w:rFonts w:hint="default" w:eastAsia="仿宋_GB2312" w:cs="仿宋_GB2312"/>
          <w:sz w:val="32"/>
          <w:szCs w:val="32"/>
        </w:rPr>
        <w:t>市</w:t>
      </w:r>
      <w:r>
        <w:rPr>
          <w:rFonts w:hint="eastAsia" w:ascii="仿宋_GB2312" w:hAnsi="仿宋_GB2312" w:eastAsia="仿宋_GB2312" w:cs="仿宋_GB2312"/>
          <w:sz w:val="32"/>
          <w:szCs w:val="32"/>
        </w:rPr>
        <w:t>生态环境</w:t>
      </w:r>
      <w:r>
        <w:rPr>
          <w:rFonts w:hint="default" w:eastAsia="仿宋_GB2312" w:cs="仿宋_GB2312"/>
          <w:sz w:val="32"/>
          <w:szCs w:val="32"/>
        </w:rPr>
        <w:t>局</w:t>
      </w:r>
      <w:r>
        <w:rPr>
          <w:rFonts w:hint="eastAsia" w:ascii="仿宋_GB2312" w:hAnsi="仿宋_GB2312" w:eastAsia="仿宋_GB2312" w:cs="仿宋_GB2312"/>
          <w:sz w:val="32"/>
          <w:szCs w:val="32"/>
        </w:rPr>
        <w:t>清涧分局、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17.强化未成年人犯罪预防和治理，加强未成年人法治教育和专门教育工作。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责任单位：县委政法委、县法院、县检察院、团县委、县公安局、县教体局、县司法局按职责分工</w:t>
      </w:r>
      <w:r>
        <w:rPr>
          <w:rFonts w:hint="default" w:eastAsia="仿宋_GB2312" w:cs="仿宋_GB2312"/>
          <w:sz w:val="32"/>
          <w:szCs w:val="32"/>
        </w:rPr>
        <w:t>负责</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18.坚持“群众说事、法官说法”,开展司法救助、公益诉讼。</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责任单位：县委政法委、县法院、县检察院、县公安局、县财政局、县司法局按职责分工</w:t>
      </w:r>
      <w:r>
        <w:rPr>
          <w:rFonts w:hint="default" w:eastAsia="仿宋_GB2312" w:cs="仿宋_GB2312"/>
          <w:sz w:val="32"/>
          <w:szCs w:val="32"/>
        </w:rPr>
        <w:t>负责</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19.贯彻落实新修订的《陕西省法律援助条例》,深化“公共法律服务实体平台提质增效”行动，优化“半小时公共法律服务圈”,推进公共法律服务均等化。</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20.加</w:t>
      </w:r>
      <w:r>
        <w:rPr>
          <w:rFonts w:hint="default" w:eastAsia="仿宋_GB2312" w:cs="仿宋_GB2312"/>
          <w:sz w:val="32"/>
          <w:szCs w:val="32"/>
        </w:rPr>
        <w:t>强律师事务所培育力度，</w:t>
      </w:r>
      <w:r>
        <w:rPr>
          <w:rFonts w:hint="eastAsia" w:ascii="仿宋_GB2312" w:hAnsi="仿宋_GB2312" w:eastAsia="仿宋_GB2312" w:cs="仿宋_GB2312"/>
          <w:sz w:val="32"/>
          <w:szCs w:val="32"/>
        </w:rPr>
        <w:t>开展“公证规范优质”行动和法律援助质量巩固年等活动。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21.全面推进信访工作法治化，依法依政策解决信访问题。</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县信访局、县委社会工作部、县委政法委、</w:t>
      </w:r>
      <w:r>
        <w:rPr>
          <w:rFonts w:hint="eastAsia" w:ascii="仿宋_GB2312" w:hAnsi="仿宋_GB2312" w:eastAsia="仿宋_GB2312" w:cs="仿宋_GB2312"/>
          <w:sz w:val="32"/>
          <w:szCs w:val="32"/>
        </w:rPr>
        <w:t>县纪委监委、县法院、县检察院、县公安局、县司法局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22.落实党政机关“三单两书”普法工作制度，加大红色法治文化资源挖掘保护和综合利用力度。建好用好法治清涧融媒体矩阵。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23.持续开展行政复议护航企业高质量发展专项行动，及时发布涉企违法行政典型案例。探索民营企业公司律师试点，推进国有企业公司律师和中小微企业法律顾问全覆盖。推进商事调解试点工作。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统筹谋划涉外法治人才培养工作，发挥省内、本市高校资源作用，依托国家级涉外法治研究培育基地、全国涉外法治人才协同培养(培育)创新基地、全国高校卓越涉外法律人才培养基地等平台，精准对接满足涉外实务领域紧缺法治人才需求，推进涉外法治人才培养相关工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25.加强对涉外司法案件的研究，推动从个案解决中积累实践经验，提升涉外法治工作质量水平。</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责任单位：县法院、县检察院、县公安局、县国安办、县司法局按职责分工</w:t>
      </w:r>
      <w:r>
        <w:rPr>
          <w:rFonts w:hint="default" w:eastAsia="仿宋_GB2312" w:cs="仿宋_GB2312"/>
          <w:sz w:val="32"/>
          <w:szCs w:val="32"/>
        </w:rPr>
        <w:t>负责</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26.研究谋划“十五五”法治建设重点工作和“九五”普法规划。</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27.按照全县考核工作部署要求，开展法治建设相关专项考核。</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责任单位：县委依法治县办、县司法局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二、拟举办的重要会议和活动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1.筹备县委全面依法治县工作会议。</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w:t>
      </w:r>
      <w:r>
        <w:rPr>
          <w:rFonts w:hint="eastAsia" w:ascii="仿宋_GB2312" w:hAnsi="仿宋_GB2312" w:eastAsia="仿宋_GB2312" w:cs="仿宋_GB2312"/>
          <w:sz w:val="32"/>
          <w:szCs w:val="32"/>
        </w:rPr>
        <w:t>县委办、县司法局，县级有关部门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2.举办学习贯彻习近平法治思想相关专题培训班。</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w:t>
      </w:r>
      <w:r>
        <w:rPr>
          <w:rFonts w:hint="eastAsia" w:ascii="仿宋_GB2312" w:hAnsi="仿宋_GB2312" w:eastAsia="仿宋_GB2312" w:cs="仿宋_GB2312"/>
          <w:sz w:val="32"/>
          <w:szCs w:val="32"/>
        </w:rPr>
        <w:t>县委组织部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3.以县委全面依法治县委员会会议形式开展年度县级述法点评工作。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w:t>
      </w:r>
      <w:r>
        <w:rPr>
          <w:rFonts w:hint="eastAsia" w:ascii="仿宋_GB2312" w:hAnsi="仿宋_GB2312" w:eastAsia="仿宋_GB2312" w:cs="仿宋_GB2312"/>
          <w:sz w:val="32"/>
          <w:szCs w:val="32"/>
        </w:rPr>
        <w:t>县委办、县级有关部门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4.开展全县法治建设“一规划两方案”总结评估和“八五”普法终期验收。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w:t>
      </w:r>
      <w:r>
        <w:rPr>
          <w:rFonts w:hint="eastAsia" w:ascii="仿宋_GB2312" w:hAnsi="仿宋_GB2312" w:eastAsia="仿宋_GB2312" w:cs="仿宋_GB2312"/>
          <w:sz w:val="32"/>
          <w:szCs w:val="32"/>
        </w:rPr>
        <w:t>县委办、县政府办、县委宣传部、县司法局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5.落实法治建设、法治政府建设年度报告制度。</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w:t>
      </w:r>
      <w:r>
        <w:rPr>
          <w:rFonts w:hint="eastAsia" w:ascii="仿宋_GB2312" w:hAnsi="仿宋_GB2312" w:eastAsia="仿宋_GB2312" w:cs="仿宋_GB2312"/>
          <w:sz w:val="32"/>
          <w:szCs w:val="32"/>
        </w:rPr>
        <w:t>县委办、县政府办、县司法局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6.宣传“十大法治人物”、推荐“十大法治事件”,开展国家宪法日暨“宪法宣传周”、法治文化节、新媒体普法大赛、“红领巾法学院”等活动。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r>
        <w:rPr>
          <w:rFonts w:hint="eastAsia" w:ascii="仿宋_GB2312" w:hAnsi="仿宋_GB2312" w:eastAsia="仿宋_GB2312" w:cs="仿宋_GB2312"/>
          <w:b/>
          <w:bCs/>
          <w:sz w:val="32"/>
          <w:szCs w:val="32"/>
        </w:rPr>
        <w:t>县委依法治县办、</w:t>
      </w:r>
      <w:r>
        <w:rPr>
          <w:rFonts w:hint="eastAsia" w:ascii="仿宋_GB2312" w:hAnsi="仿宋_GB2312" w:eastAsia="仿宋_GB2312" w:cs="仿宋_GB2312"/>
          <w:sz w:val="32"/>
          <w:szCs w:val="32"/>
        </w:rPr>
        <w:t>县委宣传部、团县委、县教体局、县司法局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7.配合省委依法治省办、市委依法治市办聚焦习近平法治思想贯彻落实、领导干部依法办事等开展法治督察。针对行政机关履行行政复议决定、法院生效裁判和检察建议情况等组织开展法治督察。</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w:t>
      </w:r>
      <w:bookmarkStart w:id="0" w:name="_GoBack"/>
      <w:r>
        <w:rPr>
          <w:rFonts w:hint="eastAsia" w:ascii="仿宋_GB2312" w:hAnsi="仿宋_GB2312" w:eastAsia="仿宋_GB2312" w:cs="仿宋_GB2312"/>
          <w:b/>
          <w:bCs/>
          <w:sz w:val="32"/>
          <w:szCs w:val="32"/>
        </w:rPr>
        <w:t>县委依法治县办、</w:t>
      </w:r>
      <w:bookmarkEnd w:id="0"/>
      <w:r>
        <w:rPr>
          <w:rFonts w:hint="eastAsia" w:ascii="仿宋_GB2312" w:hAnsi="仿宋_GB2312" w:eastAsia="仿宋_GB2312" w:cs="仿宋_GB2312"/>
          <w:sz w:val="32"/>
          <w:szCs w:val="32"/>
        </w:rPr>
        <w:t>县法院、县检察院、县司法局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9EACDF8"/>
    <w:rsid w:val="69CEE6E4"/>
    <w:rsid w:val="76FB2F31"/>
    <w:rsid w:val="7F3C4CD8"/>
    <w:rsid w:val="B7FCBC7C"/>
    <w:rsid w:val="DCD3B345"/>
    <w:rsid w:val="E7EEA8F4"/>
    <w:rsid w:val="F9EACDF8"/>
    <w:rsid w:val="FF641F69"/>
    <w:rsid w:val="FFFE9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微软雅黑" w:cs="微软雅黑"/>
      <w:spacing w:val="0"/>
      <w:kern w:val="2"/>
      <w:sz w:val="26"/>
      <w:szCs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2025-10-10T15:21:00Z</dcterms:created>
  <dc:creator>很像猫的兔子</dc:creator>
  <cp:lastModifiedBy>很像猫的兔子</cp:lastModifiedBy>
  <dcterms:modified xsi:type="dcterms:W3CDTF">2025-10-10T15:06:30Z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ies>
</file>